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5A8C1F81" w:rsidR="00F422D3" w:rsidRPr="00BF1504" w:rsidRDefault="003F0FD2" w:rsidP="00A955FC">
      <w:pPr>
        <w:pStyle w:val="Titul2"/>
        <w:rPr>
          <w:sz w:val="28"/>
          <w:szCs w:val="28"/>
        </w:rPr>
      </w:pPr>
      <w:r w:rsidRPr="00BF1504">
        <w:rPr>
          <w:sz w:val="28"/>
          <w:szCs w:val="28"/>
        </w:rPr>
        <w:t>Záměru projektu</w:t>
      </w:r>
      <w:r w:rsidR="00994B7A">
        <w:rPr>
          <w:sz w:val="28"/>
          <w:szCs w:val="28"/>
        </w:rPr>
        <w:t xml:space="preserve"> a Doprovodné dokumentace</w:t>
      </w:r>
    </w:p>
    <w:p w14:paraId="59BDB4D1" w14:textId="580E1C14"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662C59">
            <w:rPr>
              <w:rStyle w:val="Nzevakce"/>
              <w:b/>
              <w:sz w:val="28"/>
              <w:szCs w:val="28"/>
            </w:rPr>
            <w:t>„</w:t>
          </w:r>
          <w:r w:rsidR="00662C59" w:rsidRPr="00662C59">
            <w:rPr>
              <w:rStyle w:val="Nzevakce"/>
              <w:b/>
              <w:sz w:val="28"/>
              <w:szCs w:val="28"/>
            </w:rPr>
            <w:t>Konverze na 25kV, 50 Hz v úseku Český Těšín (mimo) – Mosty u Jablunkova státní hranice</w:t>
          </w:r>
          <w:r w:rsidRPr="00662C59">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67BE720A" w:rsidR="00F422D3" w:rsidRDefault="00F422D3" w:rsidP="00662C59">
      <w:pPr>
        <w:pStyle w:val="Textbezodsazen"/>
        <w:jc w:val="left"/>
      </w:pPr>
      <w:r>
        <w:t xml:space="preserve">ISPROFOND: </w:t>
      </w:r>
      <w:r w:rsidR="00662C59">
        <w:t>3273214901</w:t>
      </w:r>
      <w:r w:rsidR="00662C59">
        <w:br/>
      </w:r>
      <w:proofErr w:type="spellStart"/>
      <w:r w:rsidR="00662C59">
        <w:t>Sub.ISPROFIN</w:t>
      </w:r>
      <w:proofErr w:type="spellEnd"/>
      <w:r w:rsidR="00662C59">
        <w:t>: 5813520099</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109015CB" w:rsidR="003F0FD2" w:rsidRDefault="003F0FD2" w:rsidP="003F0FD2">
      <w:pPr>
        <w:pStyle w:val="Text1-1"/>
      </w:pPr>
      <w:r>
        <w:t xml:space="preserve">Objednatel oznámil </w:t>
      </w:r>
      <w:r w:rsidR="009A3A08" w:rsidRPr="009A3A08">
        <w:t>uveřejněním zadávací dokumentace na Profilu zadavatele</w:t>
      </w:r>
      <w:r w:rsidR="009A3A08">
        <w:t xml:space="preserve"> </w:t>
      </w:r>
      <w:r w:rsidR="005E7147">
        <w:t xml:space="preserve">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662C59" w:rsidRPr="00261A70">
        <w:rPr>
          <w:rFonts w:eastAsia="Times New Roman" w:cs="Arial"/>
          <w:b/>
          <w:color w:val="000000"/>
          <w:lang w:eastAsia="cs-CZ"/>
        </w:rPr>
        <w:t xml:space="preserve">Konverze na 25kV, 50 Hz v úseku Český Těšín (mimo) – Mosty u Jablunkova </w:t>
      </w:r>
      <w:r w:rsidR="00662C59" w:rsidRPr="007146AF">
        <w:rPr>
          <w:rFonts w:eastAsia="Times New Roman" w:cs="Arial"/>
          <w:b/>
          <w:color w:val="000000"/>
          <w:lang w:eastAsia="cs-CZ"/>
        </w:rPr>
        <w:t>st</w:t>
      </w:r>
      <w:r w:rsidR="00662C59">
        <w:rPr>
          <w:rFonts w:eastAsia="Times New Roman" w:cs="Arial"/>
          <w:b/>
          <w:color w:val="000000"/>
          <w:lang w:eastAsia="cs-CZ"/>
        </w:rPr>
        <w:t>á</w:t>
      </w:r>
      <w:r w:rsidR="00662C59" w:rsidRPr="007146AF">
        <w:rPr>
          <w:rFonts w:eastAsia="Times New Roman" w:cs="Arial"/>
          <w:b/>
          <w:color w:val="000000"/>
          <w:lang w:eastAsia="cs-CZ"/>
        </w:rPr>
        <w:t>tní hranice</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662C59">
        <w:t>a D</w:t>
      </w:r>
      <w:r w:rsidR="006624D9" w:rsidRPr="00662C59">
        <w:t>oprovodné d</w:t>
      </w:r>
      <w:r w:rsidRPr="00662C59">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 xml:space="preserve">Zhotovitel na sebe přebírá nebezpečí změny okolností ve smyslu </w:t>
      </w:r>
      <w:proofErr w:type="spellStart"/>
      <w:r w:rsidRPr="000700EE">
        <w:t>ust</w:t>
      </w:r>
      <w:proofErr w:type="spellEnd"/>
      <w:r w:rsidRPr="000700EE">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lastRenderedPageBreak/>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w:t>
      </w:r>
      <w:proofErr w:type="gramStart"/>
      <w:r w:rsidRPr="00187A3E">
        <w:rPr>
          <w:rFonts w:eastAsia="Times New Roman" w:cs="Times New Roman"/>
          <w:color w:val="000000" w:themeColor="text1"/>
          <w:sz w:val="18"/>
          <w:szCs w:val="18"/>
        </w:rPr>
        <w:t>meet,</w:t>
      </w:r>
      <w:proofErr w:type="gramEnd"/>
      <w:r w:rsidRPr="00187A3E">
        <w:rPr>
          <w:rFonts w:eastAsia="Times New Roman" w:cs="Times New Roman"/>
          <w:color w:val="000000" w:themeColor="text1"/>
          <w:sz w:val="18"/>
          <w:szCs w:val="18"/>
        </w:rPr>
        <w:t xml:space="preserve"> atp.), pokud nebude nutné, aby byly spojeny s místním šetřením.</w:t>
      </w:r>
    </w:p>
    <w:p w14:paraId="51DDC556" w14:textId="299232E0"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662C59">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662C59">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r w:rsidR="00E62E04">
        <w:rPr>
          <w:rFonts w:eastAsia="Times New Roman" w:cs="Times New Roman"/>
          <w:color w:val="000000" w:themeColor="text1"/>
          <w:sz w:val="18"/>
          <w:szCs w:val="18"/>
        </w:rPr>
        <w:t xml:space="preserve"> </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w:t>
      </w:r>
      <w:r w:rsidRPr="008A563D">
        <w:lastRenderedPageBreak/>
        <w:t>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542E2AA1" w14:textId="70AD9EFA" w:rsidR="001B2661" w:rsidRPr="001B2661" w:rsidRDefault="001B2661" w:rsidP="001B2661">
      <w:pPr>
        <w:pStyle w:val="Text1-1"/>
        <w:numPr>
          <w:ilvl w:val="1"/>
          <w:numId w:val="5"/>
        </w:numPr>
        <w:rPr>
          <w:iCs/>
        </w:rPr>
      </w:pPr>
      <w:r w:rsidRPr="001B2661">
        <w:rPr>
          <w:iCs/>
        </w:rPr>
        <w:t>NEOBSAZENO</w:t>
      </w:r>
    </w:p>
    <w:p w14:paraId="4884324C" w14:textId="0FFEFAE9" w:rsidR="00DA3C87" w:rsidRPr="00C96697" w:rsidRDefault="00DA3C87" w:rsidP="00DA3C87">
      <w:pPr>
        <w:pStyle w:val="Odrka1-1"/>
        <w:numPr>
          <w:ilvl w:val="0"/>
          <w:numId w:val="0"/>
        </w:numPr>
        <w:ind w:left="737"/>
        <w:rPr>
          <w:i/>
          <w:color w:val="00B050"/>
        </w:rPr>
      </w:pP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1D6062C2" w:rsidR="003F0FD2" w:rsidRDefault="003F0FD2" w:rsidP="00930F78">
      <w:pPr>
        <w:pStyle w:val="Text1-1"/>
      </w:pPr>
      <w:r>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lastRenderedPageBreak/>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lastRenderedPageBreak/>
        <w:t>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25222981" w:rsidR="00930F78" w:rsidRDefault="00930F78" w:rsidP="00323427">
      <w:pPr>
        <w:pStyle w:val="Textbezslovn"/>
        <w:tabs>
          <w:tab w:val="left" w:pos="2127"/>
        </w:tabs>
        <w:ind w:left="2297" w:hanging="1559"/>
      </w:pPr>
      <w:r>
        <w:t>Příloha č. 2</w:t>
      </w:r>
      <w:r>
        <w:tab/>
      </w:r>
      <w:r w:rsidRPr="00E1514B">
        <w:rPr>
          <w:b/>
        </w:rPr>
        <w:t>Obchodní podmínky OP/</w:t>
      </w:r>
      <w:r w:rsidRPr="001B2661">
        <w:rPr>
          <w:b/>
        </w:rPr>
        <w:t>D</w:t>
      </w:r>
      <w:r w:rsidR="001B2661" w:rsidRPr="001B2661">
        <w:rPr>
          <w:b/>
        </w:rPr>
        <w:t>OKUMENTACE</w:t>
      </w:r>
      <w:r w:rsidRPr="001B2661">
        <w:rPr>
          <w:b/>
        </w:rPr>
        <w:t>/</w:t>
      </w:r>
      <w:r w:rsidR="001B2661">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41688644"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1B2661" w:rsidRPr="001B2661">
        <w:rPr>
          <w:bCs/>
        </w:rPr>
        <w:t>09/24</w:t>
      </w:r>
    </w:p>
    <w:p w14:paraId="5CF45E45" w14:textId="60ECBD84" w:rsidR="00930F78" w:rsidRPr="001B2661" w:rsidRDefault="00930F78" w:rsidP="001B2661">
      <w:pPr>
        <w:pStyle w:val="Textbezslovn"/>
        <w:tabs>
          <w:tab w:val="left" w:pos="2127"/>
        </w:tabs>
        <w:ind w:left="2410" w:hanging="282"/>
        <w:rPr>
          <w:bCs/>
        </w:rPr>
      </w:pPr>
      <w:r>
        <w:t xml:space="preserve">c) Zvláštní technické podmínky </w:t>
      </w:r>
      <w:r w:rsidR="001B2661" w:rsidRPr="001B2661">
        <w:rPr>
          <w:bCs/>
        </w:rPr>
        <w:t>ze dne 14. 11. 2024, 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4D4616F6"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1B2661">
        <w:rPr>
          <w:rFonts w:eastAsia="Times New Roman" w:cs="Arial"/>
          <w:sz w:val="18"/>
          <w:szCs w:val="18"/>
          <w:lang w:eastAsia="cs-CZ"/>
        </w:rPr>
        <w:t xml:space="preserve">a doprovodné dokumentace </w:t>
      </w:r>
      <w:r w:rsidR="00E83C28" w:rsidRPr="001B2661">
        <w:rPr>
          <w:rFonts w:eastAsia="Times New Roman" w:cs="Arial"/>
          <w:sz w:val="18"/>
          <w:szCs w:val="18"/>
          <w:lang w:eastAsia="cs-CZ"/>
        </w:rPr>
        <w:t>(DD)</w:t>
      </w:r>
      <w:r w:rsidR="00E83C28">
        <w:rPr>
          <w:rFonts w:eastAsia="Times New Roman" w:cs="Arial"/>
          <w:sz w:val="18"/>
          <w:szCs w:val="18"/>
          <w:lang w:eastAsia="cs-CZ"/>
        </w:rPr>
        <w:t xml:space="preserve"> stavby </w:t>
      </w:r>
      <w:r w:rsidRPr="00363614">
        <w:rPr>
          <w:rFonts w:eastAsia="Times New Roman" w:cs="Arial"/>
          <w:b/>
          <w:sz w:val="18"/>
          <w:szCs w:val="18"/>
          <w:lang w:eastAsia="cs-CZ"/>
        </w:rPr>
        <w:t>„</w:t>
      </w:r>
      <w:r w:rsidR="001B2661" w:rsidRPr="001B2661">
        <w:rPr>
          <w:rFonts w:eastAsia="Times New Roman" w:cs="Arial"/>
          <w:b/>
          <w:sz w:val="18"/>
          <w:szCs w:val="18"/>
          <w:lang w:eastAsia="cs-CZ"/>
        </w:rPr>
        <w:t>Konverze na 25kV, 50 Hz v úseku Český Těšín (mimo) – Mosty u Jablunkova státní hranice</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6D056246" w14:textId="77777777" w:rsidR="009A3A08" w:rsidRPr="009A3A08" w:rsidRDefault="001B2661" w:rsidP="009A3A08">
      <w:pPr>
        <w:pStyle w:val="Odstavecseseznamem"/>
        <w:numPr>
          <w:ilvl w:val="0"/>
          <w:numId w:val="40"/>
        </w:numPr>
        <w:spacing w:before="120" w:after="120" w:line="240" w:lineRule="auto"/>
        <w:ind w:left="425" w:hanging="425"/>
        <w:jc w:val="both"/>
        <w:rPr>
          <w:rFonts w:eastAsia="Times New Roman" w:cs="Times New Roman"/>
          <w:sz w:val="18"/>
          <w:szCs w:val="18"/>
          <w:lang w:eastAsia="cs-CZ"/>
        </w:rPr>
      </w:pPr>
      <w:r w:rsidRPr="009A3A08">
        <w:rPr>
          <w:rFonts w:eastAsia="Times New Roman" w:cs="Times New Roman"/>
          <w:sz w:val="18"/>
          <w:szCs w:val="18"/>
          <w:lang w:eastAsia="cs-CZ"/>
        </w:rPr>
        <w:t xml:space="preserve">Součástí předmětu plnění je zpracování hodnocení ekonomické efektivnosti předmětné železniční stavby dle platných </w:t>
      </w:r>
      <w:r w:rsidRPr="009A3A08">
        <w:rPr>
          <w:rFonts w:eastAsia="Times New Roman" w:cs="Times New Roman"/>
          <w:i/>
          <w:iCs/>
          <w:sz w:val="18"/>
          <w:szCs w:val="18"/>
          <w:lang w:eastAsia="cs-CZ"/>
        </w:rPr>
        <w:t>Pravidel přípravy a realizace akcí dopravní infrastruktury financovaných Státním fondem dopravní infrastruktury</w:t>
      </w:r>
      <w:r w:rsidRPr="009A3A08">
        <w:rPr>
          <w:rFonts w:eastAsia="Times New Roman" w:cs="Times New Roman"/>
          <w:sz w:val="18"/>
          <w:szCs w:val="18"/>
          <w:lang w:eastAsia="cs-CZ"/>
        </w:rPr>
        <w:t xml:space="preserve"> schválených ministrem dopravy dne 28. 8. 2024 s účinností ke dni 1. 9. 2024 (dále jen „</w:t>
      </w:r>
      <w:r w:rsidRPr="009A3A08">
        <w:rPr>
          <w:rFonts w:eastAsia="Times New Roman" w:cs="Times New Roman"/>
          <w:b/>
          <w:bCs/>
          <w:sz w:val="18"/>
          <w:szCs w:val="18"/>
          <w:lang w:eastAsia="cs-CZ"/>
        </w:rPr>
        <w:t>Pravidla</w:t>
      </w:r>
      <w:r w:rsidRPr="009A3A08">
        <w:rPr>
          <w:rFonts w:eastAsia="Times New Roman" w:cs="Times New Roman"/>
          <w:sz w:val="18"/>
          <w:szCs w:val="18"/>
          <w:lang w:eastAsia="cs-CZ"/>
        </w:rPr>
        <w:t xml:space="preserve">“) a dle platné </w:t>
      </w:r>
      <w:r w:rsidRPr="009A3A08">
        <w:rPr>
          <w:rFonts w:eastAsia="Times New Roman" w:cs="Times New Roman"/>
          <w:i/>
          <w:iCs/>
          <w:sz w:val="18"/>
          <w:szCs w:val="18"/>
          <w:lang w:eastAsia="cs-CZ"/>
        </w:rPr>
        <w:t>Rezortní metodiky pro hodnocení ekonomické efektivnosti projektů dopravních staveb</w:t>
      </w:r>
      <w:r w:rsidRPr="009A3A08">
        <w:rPr>
          <w:rFonts w:eastAsia="Times New Roman" w:cs="Times New Roman"/>
          <w:sz w:val="18"/>
          <w:szCs w:val="18"/>
          <w:lang w:eastAsia="cs-CZ"/>
        </w:rPr>
        <w:t xml:space="preserve"> schválené Centrální komisí Ministerstva dopravy dne 8. 8. 2023 (dále jen „</w:t>
      </w:r>
      <w:r w:rsidRPr="009A3A08">
        <w:rPr>
          <w:rFonts w:eastAsia="Times New Roman" w:cs="Times New Roman"/>
          <w:b/>
          <w:bCs/>
          <w:sz w:val="18"/>
          <w:szCs w:val="18"/>
          <w:lang w:eastAsia="cs-CZ"/>
        </w:rPr>
        <w:t>Metodika</w:t>
      </w:r>
      <w:r w:rsidRPr="009A3A08">
        <w:rPr>
          <w:rFonts w:eastAsia="Times New Roman" w:cs="Times New Roman"/>
          <w:sz w:val="18"/>
          <w:szCs w:val="18"/>
          <w:lang w:eastAsia="cs-CZ"/>
        </w:rPr>
        <w:t xml:space="preserve">“). </w:t>
      </w:r>
    </w:p>
    <w:p w14:paraId="268BCFF3" w14:textId="77777777" w:rsidR="009A3A08" w:rsidRDefault="009A3A08" w:rsidP="009A3A08">
      <w:pPr>
        <w:pStyle w:val="Odstavecseseznamem"/>
        <w:spacing w:after="120" w:line="240" w:lineRule="auto"/>
        <w:ind w:left="425"/>
        <w:jc w:val="both"/>
        <w:rPr>
          <w:rFonts w:eastAsia="Times New Roman" w:cs="Times New Roman"/>
          <w:sz w:val="18"/>
          <w:szCs w:val="18"/>
          <w:lang w:eastAsia="cs-CZ"/>
        </w:rPr>
      </w:pPr>
    </w:p>
    <w:p w14:paraId="7AE1162D" w14:textId="538B6AC4" w:rsidR="001B2661" w:rsidRPr="009A3A08" w:rsidRDefault="001B2661" w:rsidP="009A3A08">
      <w:pPr>
        <w:pStyle w:val="Odstavecseseznamem"/>
        <w:spacing w:after="120" w:line="240" w:lineRule="auto"/>
        <w:ind w:left="425"/>
        <w:jc w:val="both"/>
        <w:rPr>
          <w:rFonts w:eastAsia="Times New Roman" w:cs="Times New Roman"/>
          <w:sz w:val="18"/>
          <w:szCs w:val="18"/>
          <w:lang w:eastAsia="cs-CZ"/>
        </w:rPr>
      </w:pPr>
      <w:r w:rsidRPr="009A3A08">
        <w:rPr>
          <w:rFonts w:eastAsia="Times New Roman" w:cs="Times New Roman"/>
          <w:sz w:val="18"/>
          <w:szCs w:val="18"/>
          <w:lang w:eastAsia="cs-CZ"/>
        </w:rPr>
        <w:t xml:space="preserve">Aktuálně platné znění Pravidel je k dispozici na </w:t>
      </w:r>
      <w:hyperlink r:id="rId15" w:history="1">
        <w:r w:rsidRPr="009A3A08">
          <w:rPr>
            <w:rStyle w:val="Hypertextovodkaz"/>
            <w:rFonts w:eastAsia="Times New Roman" w:cs="Times New Roman"/>
            <w:noProof w:val="0"/>
            <w:sz w:val="18"/>
            <w:szCs w:val="18"/>
            <w:lang w:eastAsia="cs-CZ"/>
          </w:rPr>
          <w:t>https://www.mdcr.cz/Dokumenty/Ministerstvo/Vnitrorezortni-predpisy-(1)/Pravidla-pro-postupy-v-prubehu-pripravy-investicni</w:t>
        </w:r>
      </w:hyperlink>
      <w:r w:rsidRPr="009A3A08">
        <w:rPr>
          <w:rFonts w:eastAsia="Times New Roman" w:cs="Times New Roman"/>
          <w:sz w:val="18"/>
          <w:szCs w:val="18"/>
          <w:lang w:eastAsia="cs-CZ"/>
        </w:rPr>
        <w:t>.</w:t>
      </w:r>
    </w:p>
    <w:p w14:paraId="23738DE5" w14:textId="77777777" w:rsidR="001B2661" w:rsidRDefault="001B2661" w:rsidP="001B2661">
      <w:pPr>
        <w:pStyle w:val="Odstavecseseznamem"/>
        <w:ind w:left="426" w:hanging="11"/>
        <w:rPr>
          <w:rFonts w:eastAsia="Times New Roman" w:cs="Times New Roman"/>
          <w:sz w:val="18"/>
          <w:szCs w:val="18"/>
          <w:lang w:eastAsia="cs-CZ"/>
        </w:rPr>
      </w:pPr>
    </w:p>
    <w:p w14:paraId="281CBDE7" w14:textId="011BD2D3" w:rsidR="001B2661" w:rsidRPr="001B2661" w:rsidRDefault="001B2661" w:rsidP="001B2661">
      <w:pPr>
        <w:pStyle w:val="Odstavecseseznamem"/>
        <w:ind w:left="426" w:hanging="11"/>
        <w:rPr>
          <w:rFonts w:eastAsia="Times New Roman" w:cs="Times New Roman"/>
          <w:b/>
          <w:sz w:val="18"/>
          <w:szCs w:val="18"/>
          <w:lang w:eastAsia="cs-CZ"/>
        </w:rPr>
      </w:pPr>
      <w:r w:rsidRPr="001B2661">
        <w:rPr>
          <w:rFonts w:eastAsia="Times New Roman" w:cs="Times New Roman"/>
          <w:sz w:val="18"/>
          <w:szCs w:val="18"/>
          <w:lang w:eastAsia="cs-CZ"/>
        </w:rPr>
        <w:t xml:space="preserve">Aktuálně </w:t>
      </w:r>
      <w:r w:rsidRPr="00384515">
        <w:rPr>
          <w:rFonts w:eastAsia="Times New Roman" w:cs="Times New Roman"/>
          <w:sz w:val="18"/>
          <w:szCs w:val="18"/>
          <w:lang w:eastAsia="cs-CZ"/>
        </w:rPr>
        <w:t xml:space="preserve">platné </w:t>
      </w:r>
      <w:r w:rsidRPr="001B2661">
        <w:rPr>
          <w:rFonts w:eastAsia="Times New Roman" w:cs="Times New Roman"/>
          <w:sz w:val="18"/>
          <w:szCs w:val="18"/>
          <w:lang w:eastAsia="cs-CZ"/>
        </w:rPr>
        <w:t xml:space="preserve">znění Metodiky je k dispozici na </w:t>
      </w:r>
      <w:hyperlink r:id="rId16" w:history="1">
        <w:r w:rsidRPr="001B2661">
          <w:rPr>
            <w:rStyle w:val="Hypertextovodkaz"/>
            <w:rFonts w:eastAsia="Times New Roman" w:cs="Times New Roman"/>
            <w:noProof w:val="0"/>
            <w:sz w:val="18"/>
            <w:szCs w:val="18"/>
            <w:lang w:eastAsia="cs-CZ"/>
          </w:rPr>
          <w:t>Rezortní metodika pro hodnocení ekonomické efektivnosti projektů - Státní fond dopravní infrastruktury (gov.cz)</w:t>
        </w:r>
      </w:hyperlink>
      <w:r w:rsidRPr="001B2661">
        <w:rPr>
          <w:rFonts w:eastAsia="Times New Roman" w:cs="Times New Roman"/>
          <w:sz w:val="18"/>
          <w:szCs w:val="18"/>
          <w:lang w:eastAsia="cs-CZ"/>
        </w:rPr>
        <w:t>.</w:t>
      </w:r>
    </w:p>
    <w:p w14:paraId="71ADFCA4" w14:textId="77777777" w:rsidR="001B2661" w:rsidRPr="001B2661" w:rsidRDefault="001B2661" w:rsidP="001B2661">
      <w:pPr>
        <w:pStyle w:val="Odstavecseseznamem"/>
        <w:rPr>
          <w:rFonts w:eastAsia="Times New Roman" w:cs="Times New Roman"/>
          <w:sz w:val="18"/>
          <w:szCs w:val="18"/>
          <w:lang w:eastAsia="cs-CZ"/>
        </w:rPr>
      </w:pPr>
    </w:p>
    <w:p w14:paraId="040756CF" w14:textId="3AC2027C" w:rsidR="00B4461E" w:rsidRDefault="001B2661" w:rsidP="001B2661">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1B2661">
        <w:rPr>
          <w:rFonts w:eastAsia="Times New Roman" w:cs="Times New Roman"/>
          <w:sz w:val="18"/>
          <w:szCs w:val="18"/>
          <w:lang w:eastAsia="cs-CZ"/>
        </w:rPr>
        <w:t>Záměr projektu bude zpracován v rozsahu dle Pravidel v platném znění.</w:t>
      </w:r>
    </w:p>
    <w:p w14:paraId="7A0F5F74" w14:textId="77777777" w:rsidR="001B2661" w:rsidRPr="00363614" w:rsidRDefault="001B2661" w:rsidP="001B2661">
      <w:pPr>
        <w:pStyle w:val="Odstavecseseznamem"/>
        <w:spacing w:after="0" w:line="240" w:lineRule="auto"/>
        <w:ind w:left="426"/>
        <w:jc w:val="both"/>
        <w:rPr>
          <w:rFonts w:eastAsia="Times New Roman" w:cs="Times New Roman"/>
          <w:sz w:val="18"/>
          <w:szCs w:val="18"/>
          <w:lang w:eastAsia="cs-CZ"/>
        </w:rPr>
      </w:pPr>
    </w:p>
    <w:p w14:paraId="289A0224" w14:textId="77777777" w:rsidR="00B4461E" w:rsidRPr="001B2661"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1B2661">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750E8BC" w14:textId="77777777" w:rsidR="00B4461E" w:rsidRPr="001B2661" w:rsidRDefault="00B4461E" w:rsidP="00B4461E">
      <w:pPr>
        <w:pStyle w:val="Odstavecseseznamem"/>
        <w:ind w:left="426" w:hanging="426"/>
        <w:rPr>
          <w:rFonts w:eastAsia="Times New Roman" w:cs="Times New Roman"/>
          <w:sz w:val="18"/>
          <w:szCs w:val="18"/>
          <w:lang w:eastAsia="cs-CZ"/>
        </w:rPr>
      </w:pPr>
    </w:p>
    <w:p w14:paraId="35FD3CFA" w14:textId="77777777" w:rsidR="00B4461E" w:rsidRDefault="00B4461E" w:rsidP="00B4461E">
      <w:pPr>
        <w:pStyle w:val="Odstavecseseznamem"/>
        <w:spacing w:after="0" w:line="240" w:lineRule="auto"/>
        <w:ind w:left="426"/>
        <w:jc w:val="both"/>
        <w:rPr>
          <w:rFonts w:eastAsia="Times New Roman" w:cs="Times New Roman"/>
          <w:sz w:val="18"/>
          <w:szCs w:val="18"/>
          <w:lang w:eastAsia="cs-CZ"/>
        </w:rPr>
      </w:pPr>
      <w:r w:rsidRPr="001B2661">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12870465"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60C05BD9" w14:textId="77777777"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22C1274F"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kompletních podkladů pro zadání dalšího stupně PD</w:t>
      </w:r>
    </w:p>
    <w:p w14:paraId="198F25D6"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ZP+DD</w:t>
      </w:r>
    </w:p>
    <w:p w14:paraId="23AB364B"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 xml:space="preserve">Součinnost při vypořádání </w:t>
      </w:r>
      <w:proofErr w:type="spellStart"/>
      <w:r w:rsidRPr="001B3FEA">
        <w:rPr>
          <w:rFonts w:eastAsia="Times New Roman" w:cs="Arial"/>
          <w:sz w:val="18"/>
          <w:szCs w:val="18"/>
          <w:lang w:eastAsia="cs-CZ"/>
        </w:rPr>
        <w:t>vícekolového</w:t>
      </w:r>
      <w:proofErr w:type="spellEnd"/>
      <w:r w:rsidRPr="001B3FEA">
        <w:rPr>
          <w:rFonts w:eastAsia="Times New Roman" w:cs="Arial"/>
          <w:sz w:val="18"/>
          <w:szCs w:val="18"/>
          <w:lang w:eastAsia="cs-CZ"/>
        </w:rPr>
        <w:t xml:space="preserve"> připomínkového řízení investora a MD.</w:t>
      </w:r>
    </w:p>
    <w:p w14:paraId="7A4EB3E2" w14:textId="77777777" w:rsidR="00B4461E" w:rsidRPr="001B2661" w:rsidRDefault="00B4461E" w:rsidP="00B4461E">
      <w:pPr>
        <w:pStyle w:val="Odstavecseseznamem"/>
        <w:numPr>
          <w:ilvl w:val="0"/>
          <w:numId w:val="39"/>
        </w:numPr>
        <w:autoSpaceDE w:val="0"/>
        <w:autoSpaceDN w:val="0"/>
        <w:spacing w:after="0" w:line="240" w:lineRule="auto"/>
        <w:rPr>
          <w:rFonts w:cs="Arial"/>
          <w:sz w:val="18"/>
          <w:szCs w:val="18"/>
        </w:rPr>
      </w:pPr>
      <w:r w:rsidRPr="001B2661">
        <w:rPr>
          <w:rFonts w:eastAsia="Times New Roman" w:cs="Arial"/>
          <w:sz w:val="18"/>
          <w:szCs w:val="18"/>
          <w:lang w:eastAsia="cs-CZ"/>
        </w:rPr>
        <w:t>Zpracování doprovodné dokumentace v rozsahu definovaném ZTP.</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1B2661">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4F879B4A" w14:textId="51A1913C" w:rsidR="00355677" w:rsidRDefault="009A3A08" w:rsidP="009A3A08">
      <w:pPr>
        <w:pStyle w:val="Odstavecseseznamem"/>
        <w:spacing w:after="0" w:line="240" w:lineRule="auto"/>
        <w:ind w:left="0"/>
        <w:rPr>
          <w:rFonts w:eastAsia="Times New Roman" w:cs="Arial"/>
          <w:sz w:val="18"/>
          <w:szCs w:val="18"/>
          <w:lang w:eastAsia="cs-CZ"/>
        </w:rPr>
      </w:pPr>
      <w:r>
        <w:rPr>
          <w:rFonts w:eastAsia="Times New Roman" w:cs="Arial"/>
          <w:sz w:val="18"/>
          <w:szCs w:val="18"/>
          <w:u w:val="single"/>
          <w:lang w:eastAsia="cs-CZ"/>
        </w:rPr>
        <w:t>ZP</w:t>
      </w:r>
      <w:r w:rsidR="00355677" w:rsidRPr="00355677">
        <w:rPr>
          <w:rFonts w:eastAsia="Times New Roman" w:cs="Arial"/>
          <w:sz w:val="18"/>
          <w:szCs w:val="18"/>
          <w:u w:val="single"/>
          <w:lang w:eastAsia="cs-CZ"/>
        </w:rPr>
        <w:t xml:space="preserve"> vč. DD k připomínkám</w:t>
      </w:r>
      <w:r w:rsidR="00355677" w:rsidRPr="00355677">
        <w:rPr>
          <w:rFonts w:eastAsia="Times New Roman" w:cs="Arial"/>
          <w:sz w:val="18"/>
          <w:szCs w:val="18"/>
          <w:lang w:eastAsia="cs-CZ"/>
        </w:rPr>
        <w:t xml:space="preserve"> včetně všech příloh je nutno vyhotovit 1x v digitální uzavřené, 1x v digitální otevřené formě + předávací protokol.</w:t>
      </w:r>
    </w:p>
    <w:p w14:paraId="03564B98" w14:textId="77777777" w:rsidR="009A3A08" w:rsidRPr="00355677" w:rsidRDefault="009A3A08" w:rsidP="009A3A08">
      <w:pPr>
        <w:pStyle w:val="Odstavecseseznamem"/>
        <w:spacing w:after="0" w:line="240" w:lineRule="auto"/>
        <w:ind w:left="0"/>
        <w:rPr>
          <w:rFonts w:eastAsia="Times New Roman" w:cs="Arial"/>
          <w:sz w:val="18"/>
          <w:szCs w:val="18"/>
          <w:lang w:eastAsia="cs-CZ"/>
        </w:rPr>
      </w:pPr>
    </w:p>
    <w:p w14:paraId="20E438F9" w14:textId="3119356D" w:rsidR="00F95A29" w:rsidRPr="00E76D65" w:rsidRDefault="009A3A08" w:rsidP="009A3A08">
      <w:pPr>
        <w:pStyle w:val="Odstavecseseznamem"/>
        <w:spacing w:before="120" w:after="0" w:line="240" w:lineRule="auto"/>
        <w:ind w:left="0"/>
        <w:jc w:val="both"/>
        <w:rPr>
          <w:rFonts w:eastAsia="Times New Roman" w:cs="Arial"/>
          <w:sz w:val="18"/>
          <w:szCs w:val="18"/>
          <w:lang w:eastAsia="cs-CZ"/>
        </w:rPr>
      </w:pPr>
      <w:r>
        <w:rPr>
          <w:rFonts w:eastAsia="Times New Roman" w:cs="Arial"/>
          <w:sz w:val="18"/>
          <w:szCs w:val="18"/>
          <w:u w:val="single"/>
          <w:lang w:eastAsia="cs-CZ"/>
        </w:rPr>
        <w:t xml:space="preserve">ZP </w:t>
      </w:r>
      <w:r w:rsidR="00355677" w:rsidRPr="00355677">
        <w:rPr>
          <w:rFonts w:eastAsia="Times New Roman" w:cs="Arial"/>
          <w:sz w:val="18"/>
          <w:szCs w:val="18"/>
          <w:u w:val="single"/>
          <w:lang w:eastAsia="cs-CZ"/>
        </w:rPr>
        <w:t>vč. DD</w:t>
      </w:r>
      <w:r w:rsidR="00355677" w:rsidRPr="00355677">
        <w:rPr>
          <w:rFonts w:eastAsia="Times New Roman" w:cs="Arial"/>
          <w:sz w:val="18"/>
          <w:szCs w:val="18"/>
          <w:lang w:eastAsia="cs-CZ"/>
        </w:rPr>
        <w:t xml:space="preserve"> včetně všech příloh je nutno vyhotovit 1x v listinné formě, 2x v digitální uzavřené formě a 1x v digitální otevřené formě + předávací protokol.</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4812C9C3" w:rsidR="004F0093" w:rsidRDefault="0008069A" w:rsidP="004F0093">
      <w:pPr>
        <w:pStyle w:val="Nadpisbezsl1-2"/>
      </w:pPr>
      <w:r>
        <w:t>OP/</w:t>
      </w:r>
      <w:r w:rsidRPr="00355677">
        <w:t>D</w:t>
      </w:r>
      <w:r w:rsidR="00355677" w:rsidRPr="00355677">
        <w:t>OKUMENTACE</w:t>
      </w:r>
      <w:r w:rsidRPr="00355677">
        <w:t>/</w:t>
      </w:r>
      <w:r w:rsidR="00355677">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240AB214" w:rsidR="004F0093" w:rsidRDefault="00C96697" w:rsidP="004F0093">
      <w:pPr>
        <w:pStyle w:val="Textbezslovn"/>
      </w:pPr>
      <w:r>
        <w:t>VTP/</w:t>
      </w:r>
      <w:r w:rsidR="00B4461E">
        <w:t>ZP</w:t>
      </w:r>
      <w:r>
        <w:t>/</w:t>
      </w:r>
      <w:r w:rsidR="00355677">
        <w:t>09/24</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7D692AB1" w:rsidR="0008069A" w:rsidRDefault="00355677" w:rsidP="0008069A">
      <w:pPr>
        <w:pStyle w:val="Textbezslovn"/>
        <w:jc w:val="left"/>
      </w:pPr>
      <w:r>
        <w:rPr>
          <w:b/>
        </w:rPr>
        <w:t>„</w:t>
      </w:r>
      <w:r w:rsidRPr="00355677">
        <w:rPr>
          <w:b/>
        </w:rPr>
        <w:t>Konverze na 25kV, 50 Hz v úseku Český Těšín (mimo) – Mosty u Jablunkova státní hranice</w:t>
      </w:r>
      <w:r>
        <w:rPr>
          <w:b/>
        </w:rPr>
        <w:t xml:space="preserve">“ </w:t>
      </w:r>
      <w:r w:rsidR="0008069A">
        <w:t xml:space="preserve">ze dne </w:t>
      </w:r>
      <w:r>
        <w:t>14. 11. 2024,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794D4F6B" w14:textId="3E576029" w:rsidR="00E83C28" w:rsidRPr="0008069A" w:rsidRDefault="00E83C28" w:rsidP="00E83C28">
      <w:pPr>
        <w:pStyle w:val="Textbezodsazen"/>
        <w:rPr>
          <w:i/>
          <w:color w:val="FF0000"/>
        </w:rPr>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40A6B713"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07F08D51" w14:textId="77777777" w:rsidR="00B4461E" w:rsidRPr="00E53B0F" w:rsidRDefault="00B4461E" w:rsidP="00B4461E">
      <w:pPr>
        <w:spacing w:after="0" w:line="240" w:lineRule="auto"/>
        <w:ind w:left="426"/>
        <w:rPr>
          <w:rFonts w:eastAsia="Times New Roman" w:cs="Times New Roman"/>
          <w:b/>
          <w:sz w:val="18"/>
          <w:szCs w:val="18"/>
          <w:lang w:eastAsia="cs-CZ"/>
        </w:rPr>
      </w:pPr>
    </w:p>
    <w:p w14:paraId="58B6E88F" w14:textId="77777777" w:rsidR="00355677" w:rsidRPr="00355677" w:rsidRDefault="00355677" w:rsidP="00355677">
      <w:pPr>
        <w:numPr>
          <w:ilvl w:val="0"/>
          <w:numId w:val="41"/>
        </w:numPr>
        <w:spacing w:after="0" w:line="240" w:lineRule="auto"/>
        <w:rPr>
          <w:rFonts w:eastAsia="Times New Roman" w:cs="Times New Roman"/>
          <w:b/>
          <w:i/>
          <w:sz w:val="18"/>
          <w:szCs w:val="18"/>
          <w:u w:val="single"/>
          <w:lang w:eastAsia="cs-CZ"/>
        </w:rPr>
      </w:pPr>
      <w:r w:rsidRPr="00355677">
        <w:rPr>
          <w:rFonts w:eastAsia="Times New Roman" w:cs="Times New Roman"/>
          <w:b/>
          <w:i/>
          <w:sz w:val="18"/>
          <w:szCs w:val="18"/>
          <w:u w:val="single"/>
          <w:lang w:eastAsia="cs-CZ"/>
        </w:rPr>
        <w:t>dílčí etapa:</w:t>
      </w:r>
    </w:p>
    <w:p w14:paraId="7C0492A2" w14:textId="77777777" w:rsidR="00355677" w:rsidRPr="00355677" w:rsidRDefault="00355677" w:rsidP="00355677">
      <w:pPr>
        <w:spacing w:before="120" w:after="0" w:line="240" w:lineRule="auto"/>
        <w:ind w:left="425"/>
        <w:jc w:val="both"/>
        <w:rPr>
          <w:rFonts w:eastAsia="Times New Roman" w:cs="Times New Roman"/>
          <w:sz w:val="18"/>
          <w:szCs w:val="18"/>
          <w:lang w:eastAsia="cs-CZ"/>
        </w:rPr>
      </w:pPr>
      <w:r w:rsidRPr="00355677">
        <w:rPr>
          <w:rFonts w:eastAsia="Times New Roman" w:cs="Times New Roman"/>
          <w:sz w:val="18"/>
          <w:szCs w:val="18"/>
          <w:lang w:eastAsia="cs-CZ"/>
        </w:rPr>
        <w:t>Předmět díla v rozsahu – odevzdání Záměru projektu a DD k připomínkám</w:t>
      </w:r>
    </w:p>
    <w:p w14:paraId="567A4524" w14:textId="77777777" w:rsidR="00355677" w:rsidRPr="00355677" w:rsidRDefault="00355677" w:rsidP="00355677">
      <w:pPr>
        <w:pStyle w:val="Odstavecseseznamem"/>
        <w:numPr>
          <w:ilvl w:val="0"/>
          <w:numId w:val="43"/>
        </w:numPr>
        <w:spacing w:after="0" w:line="240" w:lineRule="auto"/>
        <w:ind w:left="462"/>
        <w:jc w:val="both"/>
        <w:rPr>
          <w:rFonts w:eastAsia="Times New Roman" w:cs="Times New Roman"/>
          <w:b/>
          <w:sz w:val="18"/>
          <w:szCs w:val="18"/>
          <w:lang w:eastAsia="cs-CZ"/>
        </w:rPr>
      </w:pPr>
      <w:r w:rsidRPr="00355677">
        <w:rPr>
          <w:rFonts w:eastAsia="Times New Roman" w:cs="Times New Roman"/>
          <w:sz w:val="18"/>
          <w:szCs w:val="18"/>
          <w:lang w:eastAsia="cs-CZ"/>
        </w:rPr>
        <w:t xml:space="preserve">bude dokončeno a předáno </w:t>
      </w:r>
      <w:r w:rsidRPr="00355677">
        <w:rPr>
          <w:rFonts w:eastAsia="Times New Roman" w:cs="Times New Roman"/>
          <w:b/>
          <w:sz w:val="18"/>
          <w:szCs w:val="18"/>
          <w:lang w:eastAsia="cs-CZ"/>
        </w:rPr>
        <w:t>do 6 měsíců od zahájení plnění</w:t>
      </w:r>
    </w:p>
    <w:p w14:paraId="2BBB4C52" w14:textId="77777777" w:rsidR="00355677" w:rsidRPr="00355677" w:rsidRDefault="00355677" w:rsidP="00355677">
      <w:pPr>
        <w:pStyle w:val="Odstavecseseznamem"/>
        <w:numPr>
          <w:ilvl w:val="0"/>
          <w:numId w:val="43"/>
        </w:numPr>
        <w:spacing w:after="0" w:line="240" w:lineRule="auto"/>
        <w:ind w:left="462"/>
        <w:jc w:val="both"/>
        <w:rPr>
          <w:rFonts w:eastAsia="Times New Roman" w:cs="Times New Roman"/>
          <w:b/>
          <w:sz w:val="18"/>
          <w:szCs w:val="18"/>
          <w:lang w:eastAsia="cs-CZ"/>
        </w:rPr>
      </w:pPr>
      <w:r w:rsidRPr="00355677">
        <w:rPr>
          <w:rFonts w:eastAsia="Times New Roman" w:cs="Times New Roman"/>
          <w:b/>
          <w:sz w:val="18"/>
          <w:szCs w:val="18"/>
          <w:lang w:eastAsia="cs-CZ"/>
        </w:rPr>
        <w:t>fakturováno</w:t>
      </w:r>
      <w:r w:rsidRPr="00355677">
        <w:rPr>
          <w:rFonts w:eastAsia="Times New Roman" w:cs="Times New Roman"/>
          <w:sz w:val="18"/>
          <w:szCs w:val="18"/>
          <w:lang w:eastAsia="cs-CZ"/>
        </w:rPr>
        <w:t xml:space="preserve"> bude </w:t>
      </w:r>
      <w:r w:rsidRPr="00355677">
        <w:rPr>
          <w:rFonts w:eastAsia="Times New Roman" w:cs="Times New Roman"/>
          <w:b/>
          <w:sz w:val="18"/>
          <w:szCs w:val="18"/>
          <w:lang w:eastAsia="cs-CZ"/>
        </w:rPr>
        <w:t xml:space="preserve">60 </w:t>
      </w:r>
      <w:r w:rsidRPr="00355677">
        <w:rPr>
          <w:rFonts w:eastAsia="Times New Roman" w:cs="Times New Roman"/>
          <w:sz w:val="18"/>
          <w:szCs w:val="18"/>
          <w:lang w:eastAsia="cs-CZ"/>
        </w:rPr>
        <w:t>% ceny díla za zpracování Záměru projektu a DD.</w:t>
      </w:r>
    </w:p>
    <w:p w14:paraId="4B6BC240" w14:textId="77777777" w:rsidR="00355677" w:rsidRPr="00355677" w:rsidRDefault="00355677" w:rsidP="00355677">
      <w:pPr>
        <w:spacing w:after="0" w:line="240" w:lineRule="auto"/>
        <w:ind w:left="426"/>
        <w:jc w:val="both"/>
        <w:rPr>
          <w:rFonts w:eastAsia="Times New Roman" w:cs="Times New Roman"/>
          <w:b/>
          <w:sz w:val="18"/>
          <w:szCs w:val="18"/>
          <w:highlight w:val="green"/>
          <w:lang w:eastAsia="cs-CZ"/>
        </w:rPr>
      </w:pPr>
    </w:p>
    <w:p w14:paraId="0007F0A3" w14:textId="77777777" w:rsidR="00355677" w:rsidRPr="00355677" w:rsidRDefault="00355677" w:rsidP="00355677">
      <w:pPr>
        <w:numPr>
          <w:ilvl w:val="0"/>
          <w:numId w:val="41"/>
        </w:numPr>
        <w:spacing w:after="0" w:line="240" w:lineRule="auto"/>
        <w:jc w:val="both"/>
        <w:rPr>
          <w:rFonts w:eastAsia="Times New Roman" w:cs="Times New Roman"/>
          <w:b/>
          <w:i/>
          <w:sz w:val="18"/>
          <w:szCs w:val="18"/>
          <w:u w:val="single"/>
          <w:lang w:eastAsia="cs-CZ"/>
        </w:rPr>
      </w:pPr>
      <w:r w:rsidRPr="00355677">
        <w:rPr>
          <w:rFonts w:eastAsia="Times New Roman" w:cs="Times New Roman"/>
          <w:b/>
          <w:i/>
          <w:sz w:val="18"/>
          <w:szCs w:val="18"/>
          <w:u w:val="single"/>
          <w:lang w:eastAsia="cs-CZ"/>
        </w:rPr>
        <w:t>dílčí etapa, konečný termín odevzdání Záměru projektu a DD:</w:t>
      </w:r>
    </w:p>
    <w:p w14:paraId="4BA75975" w14:textId="77777777" w:rsidR="00355677" w:rsidRPr="00355677" w:rsidRDefault="00355677" w:rsidP="00355677">
      <w:pPr>
        <w:spacing w:before="120" w:after="0" w:line="240" w:lineRule="auto"/>
        <w:ind w:left="425"/>
        <w:jc w:val="both"/>
        <w:rPr>
          <w:rFonts w:eastAsia="Times New Roman" w:cs="Times New Roman"/>
          <w:sz w:val="18"/>
          <w:szCs w:val="18"/>
          <w:lang w:eastAsia="cs-CZ"/>
        </w:rPr>
      </w:pPr>
      <w:r w:rsidRPr="00355677">
        <w:rPr>
          <w:rFonts w:eastAsia="Times New Roman" w:cs="Times New Roman"/>
          <w:sz w:val="18"/>
          <w:szCs w:val="18"/>
          <w:lang w:eastAsia="cs-CZ"/>
        </w:rPr>
        <w:t>Předmět díla v rozsahu – odevzdání Záměru projektu a DD se zapracovanými a projednanými připomínkami</w:t>
      </w:r>
    </w:p>
    <w:p w14:paraId="6E1FB8D7" w14:textId="77777777" w:rsidR="00355677" w:rsidRPr="00355677" w:rsidRDefault="00355677" w:rsidP="00355677">
      <w:pPr>
        <w:pStyle w:val="Odstavecseseznamem"/>
        <w:numPr>
          <w:ilvl w:val="0"/>
          <w:numId w:val="43"/>
        </w:numPr>
        <w:spacing w:after="0" w:line="240" w:lineRule="auto"/>
        <w:ind w:left="462"/>
        <w:jc w:val="both"/>
        <w:rPr>
          <w:rFonts w:eastAsia="Times New Roman" w:cs="Times New Roman"/>
          <w:sz w:val="18"/>
          <w:szCs w:val="18"/>
          <w:lang w:eastAsia="cs-CZ"/>
        </w:rPr>
      </w:pPr>
      <w:r w:rsidRPr="00355677">
        <w:rPr>
          <w:rFonts w:eastAsia="Times New Roman" w:cs="Times New Roman"/>
          <w:sz w:val="18"/>
          <w:szCs w:val="18"/>
          <w:lang w:eastAsia="cs-CZ"/>
        </w:rPr>
        <w:t xml:space="preserve">bude dokončeno a předáno </w:t>
      </w:r>
      <w:r w:rsidRPr="00355677">
        <w:rPr>
          <w:rFonts w:eastAsia="Times New Roman" w:cs="Times New Roman"/>
          <w:b/>
          <w:bCs/>
          <w:sz w:val="18"/>
          <w:szCs w:val="18"/>
          <w:lang w:eastAsia="cs-CZ"/>
        </w:rPr>
        <w:t>do 9 měsíců od zahájení plnění</w:t>
      </w:r>
    </w:p>
    <w:p w14:paraId="520307B1" w14:textId="77777777" w:rsidR="00355677" w:rsidRPr="00355677" w:rsidRDefault="00355677" w:rsidP="00355677">
      <w:pPr>
        <w:numPr>
          <w:ilvl w:val="0"/>
          <w:numId w:val="42"/>
        </w:numPr>
        <w:spacing w:after="0" w:line="240" w:lineRule="auto"/>
        <w:ind w:left="426"/>
        <w:jc w:val="both"/>
        <w:rPr>
          <w:rFonts w:eastAsia="Times New Roman" w:cs="Times New Roman"/>
          <w:b/>
          <w:sz w:val="18"/>
          <w:szCs w:val="18"/>
          <w:lang w:eastAsia="cs-CZ"/>
        </w:rPr>
      </w:pPr>
      <w:r w:rsidRPr="00355677">
        <w:rPr>
          <w:rFonts w:eastAsia="Times New Roman" w:cs="Times New Roman"/>
          <w:b/>
          <w:sz w:val="18"/>
          <w:szCs w:val="18"/>
          <w:lang w:eastAsia="cs-CZ"/>
        </w:rPr>
        <w:t>fakturováno</w:t>
      </w:r>
      <w:r w:rsidRPr="00355677">
        <w:rPr>
          <w:rFonts w:eastAsia="Times New Roman" w:cs="Times New Roman"/>
          <w:sz w:val="18"/>
          <w:szCs w:val="18"/>
          <w:lang w:eastAsia="cs-CZ"/>
        </w:rPr>
        <w:t xml:space="preserve"> bude </w:t>
      </w:r>
      <w:r w:rsidRPr="00355677">
        <w:rPr>
          <w:rFonts w:eastAsia="Times New Roman" w:cs="Times New Roman"/>
          <w:b/>
          <w:sz w:val="18"/>
          <w:szCs w:val="18"/>
          <w:lang w:eastAsia="cs-CZ"/>
        </w:rPr>
        <w:t xml:space="preserve">40 </w:t>
      </w:r>
      <w:r w:rsidRPr="00355677">
        <w:rPr>
          <w:rFonts w:eastAsia="Times New Roman" w:cs="Times New Roman"/>
          <w:sz w:val="18"/>
          <w:szCs w:val="18"/>
          <w:lang w:eastAsia="cs-CZ"/>
        </w:rPr>
        <w:t>% ceny díla za zpracování Záměru projektu a DD.</w:t>
      </w:r>
    </w:p>
    <w:p w14:paraId="165FDDD5" w14:textId="77777777" w:rsidR="00F95A29" w:rsidRDefault="00F95A29" w:rsidP="00B4461E">
      <w:pPr>
        <w:spacing w:after="0" w:line="240" w:lineRule="auto"/>
        <w:ind w:left="426"/>
        <w:jc w:val="both"/>
        <w:rPr>
          <w:rFonts w:eastAsia="Times New Roman" w:cs="Times New Roman"/>
          <w:sz w:val="18"/>
          <w:szCs w:val="18"/>
          <w:lang w:eastAsia="cs-CZ"/>
        </w:rPr>
      </w:pPr>
    </w:p>
    <w:p w14:paraId="5D22FD5C" w14:textId="77777777" w:rsidR="00F95A29" w:rsidRDefault="00F95A29" w:rsidP="00B4461E">
      <w:pPr>
        <w:spacing w:after="0" w:line="240" w:lineRule="auto"/>
        <w:ind w:left="426"/>
        <w:jc w:val="both"/>
        <w:rPr>
          <w:rFonts w:eastAsia="Times New Roman" w:cs="Times New Roman"/>
          <w:sz w:val="18"/>
          <w:szCs w:val="18"/>
          <w:lang w:eastAsia="cs-CZ"/>
        </w:rPr>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837DF" w:rsidRPr="00F95FBD" w14:paraId="220C0EC3" w14:textId="77777777" w:rsidTr="0068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6837DF" w:rsidRPr="00F95FBD" w:rsidRDefault="006837DF" w:rsidP="006837DF">
            <w:pPr>
              <w:pStyle w:val="Tabulka"/>
              <w:rPr>
                <w:rStyle w:val="Nadpisvtabulce"/>
              </w:rPr>
            </w:pPr>
            <w:r w:rsidRPr="00F95FBD">
              <w:rPr>
                <w:rStyle w:val="Nadpisvtabulce"/>
              </w:rPr>
              <w:t>Jméno a příjmení</w:t>
            </w:r>
          </w:p>
        </w:tc>
        <w:tc>
          <w:tcPr>
            <w:tcW w:w="5812" w:type="dxa"/>
            <w:shd w:val="clear" w:color="auto" w:fill="auto"/>
            <w:vAlign w:val="top"/>
          </w:tcPr>
          <w:p w14:paraId="79A86196" w14:textId="397A7F7C" w:rsidR="006837DF" w:rsidRPr="00131DBB" w:rsidRDefault="006837DF" w:rsidP="006837D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0795">
              <w:rPr>
                <w:b/>
                <w:bCs/>
              </w:rPr>
              <w:t>Ing. Miroslav Bocák, ředitel Stavební správy východ</w:t>
            </w:r>
          </w:p>
        </w:tc>
      </w:tr>
      <w:tr w:rsidR="006837DF" w:rsidRPr="00F95FBD" w14:paraId="4ADAE6C6" w14:textId="77777777" w:rsidTr="006837D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6837DF" w:rsidRPr="00F95FBD" w:rsidRDefault="006837DF" w:rsidP="006837DF">
            <w:pPr>
              <w:pStyle w:val="Tabulka"/>
            </w:pPr>
            <w:r w:rsidRPr="00F95FBD">
              <w:t>Adresa</w:t>
            </w:r>
          </w:p>
        </w:tc>
        <w:tc>
          <w:tcPr>
            <w:tcW w:w="5812" w:type="dxa"/>
            <w:shd w:val="clear" w:color="auto" w:fill="auto"/>
            <w:vAlign w:val="top"/>
          </w:tcPr>
          <w:p w14:paraId="6C0F7AD4" w14:textId="2B797830" w:rsidR="006837DF" w:rsidRPr="00131DBB" w:rsidRDefault="006837DF" w:rsidP="006837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0795">
              <w:t>Nerudova 773/1, 779 00 Olomouc</w:t>
            </w:r>
          </w:p>
        </w:tc>
      </w:tr>
      <w:tr w:rsidR="006837DF" w:rsidRPr="00F95FBD" w14:paraId="3DA146FF" w14:textId="77777777" w:rsidTr="006837D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6837DF" w:rsidRPr="00F95FBD" w:rsidRDefault="006837DF" w:rsidP="006837DF">
            <w:pPr>
              <w:pStyle w:val="Tabulka"/>
            </w:pPr>
            <w:r w:rsidRPr="00F95FBD">
              <w:t>E-mail</w:t>
            </w:r>
          </w:p>
        </w:tc>
        <w:tc>
          <w:tcPr>
            <w:tcW w:w="5812" w:type="dxa"/>
            <w:shd w:val="clear" w:color="auto" w:fill="auto"/>
            <w:vAlign w:val="top"/>
          </w:tcPr>
          <w:p w14:paraId="69B8BDB5" w14:textId="6E048F7E" w:rsidR="006837DF" w:rsidRPr="00131DBB" w:rsidRDefault="006837DF" w:rsidP="006837D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6F0795">
                <w:rPr>
                  <w:rStyle w:val="Hypertextovodkaz"/>
                  <w:noProof w:val="0"/>
                </w:rPr>
                <w:t>Bocak@spravazeleznic.cz</w:t>
              </w:r>
            </w:hyperlink>
            <w:r w:rsidRPr="006F0795">
              <w:t xml:space="preserve"> </w:t>
            </w:r>
          </w:p>
        </w:tc>
      </w:tr>
      <w:tr w:rsidR="006837DF" w:rsidRPr="00F95FBD" w14:paraId="023610E0" w14:textId="77777777" w:rsidTr="006837D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6837DF" w:rsidRPr="00F95FBD" w:rsidRDefault="006837DF" w:rsidP="006837DF">
            <w:pPr>
              <w:pStyle w:val="Tabulka"/>
            </w:pPr>
            <w:r w:rsidRPr="00F95FBD">
              <w:t>Telefon</w:t>
            </w:r>
          </w:p>
        </w:tc>
        <w:tc>
          <w:tcPr>
            <w:tcW w:w="5812" w:type="dxa"/>
            <w:shd w:val="clear" w:color="auto" w:fill="auto"/>
            <w:vAlign w:val="top"/>
          </w:tcPr>
          <w:p w14:paraId="54A3DFCE" w14:textId="4001CE9B" w:rsidR="006837DF" w:rsidRPr="00131DBB" w:rsidRDefault="006837DF" w:rsidP="006837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0795">
              <w:t>+420 606 780 184</w:t>
            </w:r>
          </w:p>
        </w:tc>
      </w:tr>
    </w:tbl>
    <w:p w14:paraId="6F320364" w14:textId="77777777" w:rsidR="002344F6" w:rsidRDefault="002344F6" w:rsidP="002344F6">
      <w:pPr>
        <w:pStyle w:val="Textbezodsazen"/>
      </w:pPr>
    </w:p>
    <w:p w14:paraId="2E436AE9" w14:textId="5F646991" w:rsidR="00531A39" w:rsidRPr="00F95FBD" w:rsidRDefault="00531A39" w:rsidP="00531A3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384515">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531A39" w:rsidRPr="00F95FBD" w14:paraId="57951582" w14:textId="77777777" w:rsidTr="007D2F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693AA4" w14:textId="77777777" w:rsidR="00531A39" w:rsidRPr="00F95FBD" w:rsidRDefault="00531A39" w:rsidP="007D2FF4">
            <w:pPr>
              <w:pStyle w:val="Tabulka"/>
              <w:rPr>
                <w:rStyle w:val="Nadpisvtabulce"/>
              </w:rPr>
            </w:pPr>
            <w:r w:rsidRPr="00F95FBD">
              <w:rPr>
                <w:rStyle w:val="Nadpisvtabulce"/>
              </w:rPr>
              <w:t>Jméno a příjmení</w:t>
            </w:r>
          </w:p>
        </w:tc>
        <w:tc>
          <w:tcPr>
            <w:tcW w:w="5812" w:type="dxa"/>
            <w:shd w:val="clear" w:color="auto" w:fill="auto"/>
          </w:tcPr>
          <w:p w14:paraId="3EFBA927" w14:textId="77777777" w:rsidR="00531A39" w:rsidRPr="00DF0660" w:rsidRDefault="00531A39" w:rsidP="007D2FF4">
            <w:pPr>
              <w:pStyle w:val="Tabulka"/>
              <w:cnfStyle w:val="100000000000" w:firstRow="1" w:lastRow="0" w:firstColumn="0" w:lastColumn="0" w:oddVBand="0" w:evenVBand="0" w:oddHBand="0" w:evenHBand="0" w:firstRowFirstColumn="0" w:firstRowLastColumn="0" w:lastRowFirstColumn="0" w:lastRowLastColumn="0"/>
            </w:pPr>
            <w:r w:rsidRPr="00DF0660">
              <w:t>Mgr. Lenka Dieguezová</w:t>
            </w:r>
          </w:p>
        </w:tc>
      </w:tr>
      <w:tr w:rsidR="00531A39" w:rsidRPr="00F95FBD" w14:paraId="52BFFA95" w14:textId="77777777" w:rsidTr="007D2FF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66FBFD" w14:textId="77777777" w:rsidR="00531A39" w:rsidRPr="00F95FBD" w:rsidRDefault="00531A39" w:rsidP="007D2FF4">
            <w:pPr>
              <w:pStyle w:val="Tabulka"/>
            </w:pPr>
            <w:r w:rsidRPr="00F95FBD">
              <w:t>Adresa</w:t>
            </w:r>
          </w:p>
        </w:tc>
        <w:tc>
          <w:tcPr>
            <w:tcW w:w="5812" w:type="dxa"/>
            <w:shd w:val="clear" w:color="auto" w:fill="auto"/>
          </w:tcPr>
          <w:p w14:paraId="42DDD1A2" w14:textId="77777777" w:rsidR="00531A39" w:rsidRPr="00DF0660" w:rsidRDefault="00531A39" w:rsidP="007D2FF4">
            <w:pPr>
              <w:pStyle w:val="Tabulka"/>
              <w:cnfStyle w:val="000000000000" w:firstRow="0" w:lastRow="0" w:firstColumn="0" w:lastColumn="0" w:oddVBand="0" w:evenVBand="0" w:oddHBand="0" w:evenHBand="0" w:firstRowFirstColumn="0" w:firstRowLastColumn="0" w:lastRowFirstColumn="0" w:lastRowLastColumn="0"/>
            </w:pPr>
            <w:r w:rsidRPr="00DF0660">
              <w:t>Nerudova 1, 779 00 Olomouc</w:t>
            </w:r>
          </w:p>
        </w:tc>
      </w:tr>
      <w:tr w:rsidR="00531A39" w:rsidRPr="00F95FBD" w14:paraId="4A7EE45A" w14:textId="77777777" w:rsidTr="007D2FF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D11F4" w14:textId="77777777" w:rsidR="00531A39" w:rsidRPr="00F95FBD" w:rsidRDefault="00531A39" w:rsidP="007D2FF4">
            <w:pPr>
              <w:pStyle w:val="Tabulka"/>
            </w:pPr>
            <w:r w:rsidRPr="00F95FBD">
              <w:t>E-mail</w:t>
            </w:r>
          </w:p>
        </w:tc>
        <w:tc>
          <w:tcPr>
            <w:tcW w:w="5812" w:type="dxa"/>
            <w:shd w:val="clear" w:color="auto" w:fill="auto"/>
          </w:tcPr>
          <w:p w14:paraId="6CA67FBA" w14:textId="77777777" w:rsidR="00531A39" w:rsidRPr="00DF0660" w:rsidRDefault="00531A39" w:rsidP="007D2FF4">
            <w:pPr>
              <w:pStyle w:val="Tabulka"/>
              <w:cnfStyle w:val="000000000000" w:firstRow="0" w:lastRow="0" w:firstColumn="0" w:lastColumn="0" w:oddVBand="0" w:evenVBand="0" w:oddHBand="0" w:evenHBand="0" w:firstRowFirstColumn="0" w:firstRowLastColumn="0" w:lastRowFirstColumn="0" w:lastRowLastColumn="0"/>
            </w:pPr>
            <w:hyperlink r:id="rId33" w:history="1">
              <w:r w:rsidRPr="00DD1FE8">
                <w:rPr>
                  <w:rStyle w:val="Hypertextovodkaz"/>
                </w:rPr>
                <w:t>D</w:t>
              </w:r>
              <w:r w:rsidRPr="00DD1FE8">
                <w:rPr>
                  <w:rStyle w:val="Hypertextovodkaz"/>
                  <w:noProof w:val="0"/>
                </w:rPr>
                <w:t>ieguezova@spravazeleznic.cz</w:t>
              </w:r>
            </w:hyperlink>
            <w:r>
              <w:t xml:space="preserve"> </w:t>
            </w:r>
          </w:p>
        </w:tc>
      </w:tr>
      <w:tr w:rsidR="00531A39" w:rsidRPr="00F95FBD" w14:paraId="49443109" w14:textId="77777777" w:rsidTr="007D2FF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0B2C30" w14:textId="77777777" w:rsidR="00531A39" w:rsidRPr="00F95FBD" w:rsidRDefault="00531A39" w:rsidP="007D2FF4">
            <w:pPr>
              <w:pStyle w:val="Tabulka"/>
            </w:pPr>
            <w:r w:rsidRPr="00F95FBD">
              <w:t>Telefon</w:t>
            </w:r>
          </w:p>
        </w:tc>
        <w:tc>
          <w:tcPr>
            <w:tcW w:w="5812" w:type="dxa"/>
            <w:shd w:val="clear" w:color="auto" w:fill="auto"/>
          </w:tcPr>
          <w:p w14:paraId="24AAD899" w14:textId="77777777" w:rsidR="00531A39" w:rsidRPr="00FB4272" w:rsidRDefault="00531A39" w:rsidP="007D2FF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77B9">
              <w:t>+420 724 932 386</w:t>
            </w:r>
          </w:p>
        </w:tc>
      </w:tr>
    </w:tbl>
    <w:p w14:paraId="4267E580" w14:textId="77777777" w:rsidR="006837DF" w:rsidRPr="00F95FBD" w:rsidRDefault="006837DF" w:rsidP="002344F6">
      <w:pPr>
        <w:pStyle w:val="Textbezodsazen"/>
      </w:pPr>
    </w:p>
    <w:p w14:paraId="6CB8FF00" w14:textId="3BF3F285"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531A39">
        <w:rPr>
          <w:rFonts w:asciiTheme="minorHAnsi" w:hAnsiTheme="minorHAnsi"/>
          <w:sz w:val="18"/>
          <w:szCs w:val="18"/>
        </w:rPr>
        <w:t xml:space="preserve"> a v</w:t>
      </w:r>
      <w:r w:rsidR="00531A39" w:rsidRPr="00531A39">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46BDC81B" w:rsidR="002344F6" w:rsidRPr="00FB4272" w:rsidRDefault="006837DF"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837DF">
              <w:t>Ing. Vojtěch Kuchař</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33B6067F" w:rsidR="002344F6" w:rsidRPr="00FB4272" w:rsidRDefault="006837DF"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Nerudova 773/1,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38DB7335" w:rsidR="002344F6" w:rsidRPr="006837DF" w:rsidRDefault="006837DF" w:rsidP="002344F6">
            <w:pPr>
              <w:pStyle w:val="Tabulka"/>
              <w:cnfStyle w:val="000000000000" w:firstRow="0" w:lastRow="0" w:firstColumn="0" w:lastColumn="0" w:oddVBand="0" w:evenVBand="0" w:oddHBand="0" w:evenHBand="0" w:firstRowFirstColumn="0" w:firstRowLastColumn="0" w:lastRowFirstColumn="0" w:lastRowLastColumn="0"/>
            </w:pPr>
            <w:r w:rsidRPr="00531A39">
              <w:rPr>
                <w:rStyle w:val="Hypertextovodkaz"/>
              </w:rPr>
              <w:t>kucharvo@spravazeleznic.cz</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F95FBD" w:rsidRDefault="002344F6" w:rsidP="002344F6">
            <w:pPr>
              <w:pStyle w:val="Tabulka"/>
            </w:pPr>
            <w:r w:rsidRPr="00F95FBD">
              <w:t>Telefon</w:t>
            </w:r>
          </w:p>
        </w:tc>
        <w:tc>
          <w:tcPr>
            <w:tcW w:w="5812" w:type="dxa"/>
            <w:shd w:val="clear" w:color="auto" w:fill="auto"/>
          </w:tcPr>
          <w:p w14:paraId="5595A853" w14:textId="5C99AF17" w:rsidR="002344F6" w:rsidRPr="006837DF" w:rsidRDefault="006837DF" w:rsidP="002344F6">
            <w:pPr>
              <w:pStyle w:val="Tabulka"/>
              <w:cnfStyle w:val="000000000000" w:firstRow="0" w:lastRow="0" w:firstColumn="0" w:lastColumn="0" w:oddVBand="0" w:evenVBand="0" w:oddHBand="0" w:evenHBand="0" w:firstRowFirstColumn="0" w:firstRowLastColumn="0" w:lastRowFirstColumn="0" w:lastRowLastColumn="0"/>
            </w:pPr>
            <w:r w:rsidRPr="006837DF">
              <w:t>+420 702 164 084</w:t>
            </w:r>
          </w:p>
        </w:tc>
      </w:tr>
    </w:tbl>
    <w:p w14:paraId="3FC94085" w14:textId="77777777" w:rsidR="002344F6" w:rsidRPr="00F95FBD" w:rsidRDefault="002344F6" w:rsidP="002344F6">
      <w:pPr>
        <w:pStyle w:val="Textbezodsazen"/>
      </w:pPr>
    </w:p>
    <w:p w14:paraId="26BCF20E" w14:textId="3AC47F5B"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3C8FA603" w14:textId="77777777" w:rsidR="00380C0F" w:rsidRDefault="00380C0F" w:rsidP="00380C0F">
      <w:pPr>
        <w:pStyle w:val="Textbezodsazen"/>
      </w:pPr>
    </w:p>
    <w:p w14:paraId="0C8A7440" w14:textId="77777777" w:rsidR="00CF1886" w:rsidRDefault="00CF1886" w:rsidP="00380C0F">
      <w:pPr>
        <w:pStyle w:val="Textbezodsazen"/>
      </w:pPr>
    </w:p>
    <w:p w14:paraId="6DE09F6C" w14:textId="615720F7" w:rsidR="002344F6" w:rsidRDefault="002344F6" w:rsidP="002344F6">
      <w:pPr>
        <w:pStyle w:val="Nadpisbezsl1-2"/>
        <w:tabs>
          <w:tab w:val="left" w:pos="2292"/>
        </w:tabs>
      </w:pPr>
      <w:r>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lastRenderedPageBreak/>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258587BE" w:rsidR="00C74950" w:rsidRPr="00F95FBD" w:rsidRDefault="00531A39" w:rsidP="00C7495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Pr="00F95FBD" w:rsidRDefault="00C74950" w:rsidP="00C74950">
      <w:pPr>
        <w:pStyle w:val="Tabulka"/>
      </w:pPr>
    </w:p>
    <w:p w14:paraId="0B6BC073" w14:textId="5CBE7333" w:rsidR="00C74950" w:rsidRPr="00F95FBD" w:rsidRDefault="00531A39" w:rsidP="00C74950">
      <w:pPr>
        <w:pStyle w:val="Nadpistabulky"/>
        <w:rPr>
          <w:sz w:val="18"/>
          <w:szCs w:val="18"/>
        </w:rPr>
      </w:pPr>
      <w:r>
        <w:rPr>
          <w:sz w:val="18"/>
          <w:szCs w:val="18"/>
        </w:rPr>
        <w:t>Zástupce hlavního projektanta</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Pr="00F95FBD" w:rsidRDefault="00C74950"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261"/>
        <w:gridCol w:w="2642"/>
        <w:gridCol w:w="2957"/>
      </w:tblGrid>
      <w:tr w:rsidR="00872362" w:rsidRPr="00F95FBD" w14:paraId="09BA7674" w14:textId="77777777" w:rsidTr="0053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BFF904B" w14:textId="77777777" w:rsidR="00872362" w:rsidRPr="00F95FBD" w:rsidRDefault="00872362" w:rsidP="00380C0F">
            <w:pPr>
              <w:pStyle w:val="Tabulka"/>
              <w:rPr>
                <w:rStyle w:val="Nadpisvtabulce"/>
              </w:rPr>
            </w:pPr>
            <w:r>
              <w:rPr>
                <w:rStyle w:val="Nadpisvtabulce"/>
              </w:rPr>
              <w:t>Název dokumentu</w:t>
            </w:r>
          </w:p>
        </w:tc>
        <w:tc>
          <w:tcPr>
            <w:tcW w:w="2642"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531A39">
        <w:tc>
          <w:tcPr>
            <w:cnfStyle w:val="001000000000" w:firstRow="0" w:lastRow="0" w:firstColumn="1" w:lastColumn="0" w:oddVBand="0" w:evenVBand="0" w:oddHBand="0" w:evenHBand="0" w:firstRowFirstColumn="0" w:firstRowLastColumn="0" w:lastRowFirstColumn="0" w:lastRowLastColumn="0"/>
            <w:tcW w:w="3261" w:type="dxa"/>
          </w:tcPr>
          <w:p w14:paraId="515F01B4" w14:textId="1E1DD892" w:rsidR="00872362" w:rsidRPr="00D0544F" w:rsidRDefault="006837DF" w:rsidP="00380C0F">
            <w:pPr>
              <w:pStyle w:val="Tabulka"/>
              <w:rPr>
                <w:highlight w:val="green"/>
              </w:rPr>
            </w:pPr>
            <w:r w:rsidRPr="006837DF">
              <w:t>Výzva k podání nabídky</w:t>
            </w:r>
          </w:p>
        </w:tc>
        <w:tc>
          <w:tcPr>
            <w:tcW w:w="2642" w:type="dxa"/>
          </w:tcPr>
          <w:p w14:paraId="44D12DC2" w14:textId="7236A84A" w:rsidR="00872362" w:rsidRPr="00F95FBD" w:rsidRDefault="003C3D5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3C3D5D">
              <w:t>2</w:t>
            </w:r>
            <w:r w:rsidR="006837DF" w:rsidRPr="003C3D5D">
              <w:t>13</w:t>
            </w:r>
            <w:r w:rsidRPr="003C3D5D">
              <w:t>6</w:t>
            </w:r>
            <w:r w:rsidR="006837DF">
              <w:t>/202</w:t>
            </w:r>
            <w:r w:rsidR="00384515">
              <w:t>5</w:t>
            </w:r>
            <w:r w:rsidR="006837DF">
              <w:t>-SŽ-SSV-Ú3</w:t>
            </w:r>
          </w:p>
        </w:tc>
        <w:tc>
          <w:tcPr>
            <w:tcW w:w="2957" w:type="dxa"/>
          </w:tcPr>
          <w:p w14:paraId="27D53D60" w14:textId="67290D5F" w:rsidR="00872362" w:rsidRPr="00F95FBD" w:rsidRDefault="00384515" w:rsidP="00380C0F">
            <w:pPr>
              <w:pStyle w:val="Tabulka"/>
              <w:jc w:val="center"/>
              <w:cnfStyle w:val="000000000000" w:firstRow="0" w:lastRow="0" w:firstColumn="0" w:lastColumn="0" w:oddVBand="0" w:evenVBand="0" w:oddHBand="0" w:evenHBand="0" w:firstRowFirstColumn="0" w:firstRowLastColumn="0" w:lastRowFirstColumn="0" w:lastRowLastColumn="0"/>
            </w:pPr>
            <w:r>
              <w:t>1</w:t>
            </w:r>
            <w:r w:rsidR="00C86CC5">
              <w:t>4</w:t>
            </w:r>
            <w:r w:rsidR="006837DF">
              <w:t>.</w:t>
            </w:r>
            <w:r>
              <w:t>0</w:t>
            </w:r>
            <w:r w:rsidR="006837DF">
              <w:t>2.202</w:t>
            </w:r>
            <w:r>
              <w:t>5</w:t>
            </w:r>
          </w:p>
        </w:tc>
      </w:tr>
      <w:tr w:rsidR="00872362" w:rsidRPr="00F95FBD" w14:paraId="106AE8EA" w14:textId="77777777" w:rsidTr="00531A39">
        <w:tc>
          <w:tcPr>
            <w:cnfStyle w:val="001000000000" w:firstRow="0" w:lastRow="0" w:firstColumn="1" w:lastColumn="0" w:oddVBand="0" w:evenVBand="0" w:oddHBand="0" w:evenHBand="0" w:firstRowFirstColumn="0" w:firstRowLastColumn="0" w:lastRowFirstColumn="0" w:lastRowLastColumn="0"/>
            <w:tcW w:w="3261" w:type="dxa"/>
          </w:tcPr>
          <w:p w14:paraId="33BBEE10" w14:textId="6A687D94" w:rsidR="00872362" w:rsidRPr="00D0544F" w:rsidRDefault="00531A39" w:rsidP="00531A39">
            <w:pPr>
              <w:pStyle w:val="Tabulka"/>
              <w:jc w:val="left"/>
              <w:rPr>
                <w:highlight w:val="green"/>
              </w:rPr>
            </w:pPr>
            <w:r>
              <w:rPr>
                <w:rFonts w:eastAsia="Times New Roman" w:cs="Times New Roman"/>
                <w:bCs/>
              </w:rPr>
              <w:t>Schválená „</w:t>
            </w:r>
            <w:r w:rsidR="006837DF" w:rsidRPr="009A188D">
              <w:rPr>
                <w:rFonts w:eastAsia="Times New Roman" w:cs="Times New Roman"/>
                <w:bCs/>
              </w:rPr>
              <w:t xml:space="preserve">Studie proveditelnosti změny trakce z DC 3 </w:t>
            </w:r>
            <w:proofErr w:type="spellStart"/>
            <w:r w:rsidR="006837DF" w:rsidRPr="009A188D">
              <w:rPr>
                <w:rFonts w:eastAsia="Times New Roman" w:cs="Times New Roman"/>
                <w:bCs/>
              </w:rPr>
              <w:t>kV</w:t>
            </w:r>
            <w:proofErr w:type="spellEnd"/>
            <w:r w:rsidR="006837DF" w:rsidRPr="009A188D">
              <w:rPr>
                <w:rFonts w:eastAsia="Times New Roman" w:cs="Times New Roman"/>
                <w:bCs/>
              </w:rPr>
              <w:t xml:space="preserve"> na AC 25 </w:t>
            </w:r>
            <w:proofErr w:type="spellStart"/>
            <w:r w:rsidR="006837DF" w:rsidRPr="009A188D">
              <w:rPr>
                <w:rFonts w:eastAsia="Times New Roman" w:cs="Times New Roman"/>
                <w:bCs/>
              </w:rPr>
              <w:t>kV</w:t>
            </w:r>
            <w:proofErr w:type="spellEnd"/>
            <w:r w:rsidR="006837DF" w:rsidRPr="009A188D">
              <w:rPr>
                <w:rFonts w:eastAsia="Times New Roman" w:cs="Times New Roman"/>
                <w:bCs/>
              </w:rPr>
              <w:t>, 50 Hz v oblasti „Ostravsko a Přerovsko“</w:t>
            </w:r>
          </w:p>
        </w:tc>
        <w:tc>
          <w:tcPr>
            <w:tcW w:w="2642" w:type="dxa"/>
          </w:tcPr>
          <w:p w14:paraId="4BA8A8B0" w14:textId="77BCE92B" w:rsidR="00872362" w:rsidRPr="00531A39" w:rsidRDefault="00531A39" w:rsidP="00380C0F">
            <w:pPr>
              <w:pStyle w:val="Tabulka"/>
              <w:jc w:val="center"/>
              <w:cnfStyle w:val="000000000000" w:firstRow="0" w:lastRow="0" w:firstColumn="0" w:lastColumn="0" w:oddVBand="0" w:evenVBand="0" w:oddHBand="0" w:evenHBand="0" w:firstRowFirstColumn="0" w:firstRowLastColumn="0" w:lastRowFirstColumn="0" w:lastRowLastColumn="0"/>
              <w:rPr>
                <w:bCs/>
              </w:rPr>
            </w:pPr>
            <w:r w:rsidRPr="00531A39">
              <w:rPr>
                <w:rFonts w:eastAsia="Times New Roman" w:cs="Arial"/>
                <w:bCs/>
              </w:rPr>
              <w:t>16699/2021-SŽ-GŘ-O6</w:t>
            </w:r>
          </w:p>
        </w:tc>
        <w:tc>
          <w:tcPr>
            <w:tcW w:w="2957" w:type="dxa"/>
          </w:tcPr>
          <w:p w14:paraId="205C4FB7" w14:textId="677F3213" w:rsidR="00872362" w:rsidRPr="00F95FBD" w:rsidRDefault="00131B85" w:rsidP="00380C0F">
            <w:pPr>
              <w:pStyle w:val="Tabulka"/>
              <w:jc w:val="center"/>
              <w:cnfStyle w:val="000000000000" w:firstRow="0" w:lastRow="0" w:firstColumn="0" w:lastColumn="0" w:oddVBand="0" w:evenVBand="0" w:oddHBand="0" w:evenHBand="0" w:firstRowFirstColumn="0" w:firstRowLastColumn="0" w:lastRowFirstColumn="0" w:lastRowLastColumn="0"/>
            </w:pPr>
            <w:r>
              <w:t>0</w:t>
            </w:r>
            <w:r w:rsidR="00531A39">
              <w:t>8.</w:t>
            </w:r>
            <w:r>
              <w:t>0</w:t>
            </w:r>
            <w:r w:rsidR="00531A39">
              <w:t>3.2021</w:t>
            </w:r>
          </w:p>
        </w:tc>
      </w:tr>
      <w:tr w:rsidR="00872362" w:rsidRPr="00F95FBD" w14:paraId="69A75AA6" w14:textId="77777777" w:rsidTr="00531A39">
        <w:tc>
          <w:tcPr>
            <w:cnfStyle w:val="001000000000" w:firstRow="0" w:lastRow="0" w:firstColumn="1" w:lastColumn="0" w:oddVBand="0" w:evenVBand="0" w:oddHBand="0" w:evenHBand="0" w:firstRowFirstColumn="0" w:firstRowLastColumn="0" w:lastRowFirstColumn="0" w:lastRowLastColumn="0"/>
            <w:tcW w:w="3261" w:type="dxa"/>
          </w:tcPr>
          <w:p w14:paraId="70760CC8" w14:textId="77A14583" w:rsidR="00872362" w:rsidRPr="006837DF" w:rsidRDefault="006837DF" w:rsidP="00380C0F">
            <w:pPr>
              <w:pStyle w:val="Tabulka"/>
            </w:pPr>
            <w:r w:rsidRPr="006837DF">
              <w:t>Nabídka zhotovitele</w:t>
            </w:r>
          </w:p>
        </w:tc>
        <w:tc>
          <w:tcPr>
            <w:tcW w:w="2642"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8C9EAF" w:rsidR="00872362" w:rsidRPr="00F95FBD" w:rsidRDefault="006837DF"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E3E57" w14:textId="77777777" w:rsidR="000700EE" w:rsidRDefault="000700EE" w:rsidP="00962258">
      <w:pPr>
        <w:spacing w:after="0" w:line="240" w:lineRule="auto"/>
      </w:pPr>
      <w:r>
        <w:separator/>
      </w:r>
    </w:p>
  </w:endnote>
  <w:endnote w:type="continuationSeparator" w:id="0">
    <w:p w14:paraId="2EF207E4" w14:textId="77777777" w:rsidR="000700EE" w:rsidRDefault="000700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22E6E1F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3E8E8754" w:rsidR="000700EE" w:rsidRPr="00BD0C4A" w:rsidRDefault="00C86CC5" w:rsidP="00BD0C4A">
          <w:pPr>
            <w:pStyle w:val="Zpatvlevo"/>
          </w:pPr>
          <w:fldSimple w:instr=" STYLEREF  _Název_akce  \* MERGEFORMAT ">
            <w:r w:rsidR="003C3D5D">
              <w:rPr>
                <w:noProof/>
              </w:rPr>
              <w:t>„Konverze na 25kV, 50 Hz v úseku Český Těšín (mimo) – Mosty u Jablunkova státní hranice“</w:t>
            </w:r>
          </w:fldSimple>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52506168"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2D969EED" w14:textId="7C81FF4C"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065BBE3F" w14:textId="18A2F90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3A07C7" w:rsidP="00BD0C4A">
          <w:pPr>
            <w:pStyle w:val="Zpatvlevo"/>
          </w:pPr>
          <w:fldSimple w:instr=" STYLEREF  _Název_akce  \* MERGEFORMAT ">
            <w:r>
              <w:rPr>
                <w:noProof/>
              </w:rPr>
              <w:t>„Název akce“ – přepíše se do zápatí</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2C6C67ED"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3FE36908" w14:textId="5ACADE90"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124136C5" w14:textId="3CC2339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769FEBB4"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7065B445" w:rsidR="000700EE" w:rsidRPr="00BD0C4A" w:rsidRDefault="00C86CC5" w:rsidP="00BD0C4A">
          <w:pPr>
            <w:pStyle w:val="Zpatvlevo"/>
          </w:pPr>
          <w:fldSimple w:instr=" STYLEREF  _Název_akce  \* MERGEFORMAT ">
            <w:r w:rsidR="003C3D5D">
              <w:rPr>
                <w:noProof/>
              </w:rPr>
              <w:t>„Konverze na 25kV, 50 Hz v úseku Český Těšín (mimo) – Mosty u Jablunkova státní hranice“</w:t>
            </w:r>
          </w:fldSimple>
        </w:p>
        <w:p w14:paraId="2647F8A5" w14:textId="44D55386" w:rsidR="000700EE" w:rsidRPr="00BD0C4A" w:rsidRDefault="000700EE" w:rsidP="00BD0C4A">
          <w:pPr>
            <w:pStyle w:val="Zpatvlevo"/>
          </w:pPr>
          <w:r w:rsidRPr="00BD0C4A">
            <w:t xml:space="preserve">Smlouva o dílo na Záměru projektu </w:t>
          </w:r>
          <w:r w:rsidRPr="00A1536F">
            <w:t xml:space="preserve">a </w:t>
          </w:r>
          <w:r w:rsidR="00C74950" w:rsidRPr="00A1536F">
            <w:t>doprovodné dokumentace (ZP+DD</w:t>
          </w:r>
          <w:r w:rsidR="00C74950" w:rsidRPr="00BD0C4A">
            <w:t>)</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3CA7DBD9"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376AC072" w14:textId="4CEB4E0B"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1565B8D9" w14:textId="3455E606"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2</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0700EE" w:rsidP="00BD0C4A">
          <w:pPr>
            <w:pStyle w:val="Zpatvlevo"/>
          </w:pPr>
          <w:fldSimple w:instr=" STYLEREF  _Název_akce  \* MERGEFORMAT ">
            <w:r>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0B73953B"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2F3BD33F" w14:textId="767955AA" w:rsidR="000700EE" w:rsidRPr="00BD0C4A" w:rsidRDefault="000700EE" w:rsidP="00BD0C4A">
          <w:pPr>
            <w:pStyle w:val="Zpatvpravo"/>
          </w:pPr>
          <w:r w:rsidRPr="00BD0C4A">
            <w:t xml:space="preserve">Smlouva o dílo na Záměru </w:t>
          </w:r>
          <w:r w:rsidRPr="00A1536F">
            <w:t xml:space="preserve">projektu a </w:t>
          </w:r>
          <w:r w:rsidR="00C74950" w:rsidRPr="00A1536F">
            <w:t>doprovodné dokumentace (ZP+DD</w:t>
          </w:r>
          <w:r w:rsidR="00C74950" w:rsidRPr="00BD0C4A">
            <w:t>)</w:t>
          </w:r>
        </w:p>
      </w:tc>
      <w:tc>
        <w:tcPr>
          <w:tcW w:w="859" w:type="dxa"/>
          <w:vAlign w:val="bottom"/>
        </w:tcPr>
        <w:p w14:paraId="2523F5B3" w14:textId="3AC3F14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0700EE" w:rsidP="00BD0C4A">
          <w:pPr>
            <w:pStyle w:val="Zpatvlevo"/>
          </w:pPr>
          <w:fldSimple w:instr=" STYLEREF  _Název_akce  \* MERGEFORMAT ">
            <w:r>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667F2B09"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3BABAA20" w14:textId="40AED50F"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43AA6D89" w14:textId="484A101F"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0700EE" w:rsidP="00BD0C4A">
          <w:pPr>
            <w:pStyle w:val="Zpatvlevo"/>
          </w:pPr>
          <w:fldSimple w:instr=" STYLEREF  _Název_akce  \* MERGEFORMAT ">
            <w:r>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1316252D" w:rsidR="000700EE" w:rsidRPr="00A1536F"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644FC5F1" w14:textId="54CDD838" w:rsidR="000700EE" w:rsidRPr="00A1536F" w:rsidRDefault="000700EE" w:rsidP="00BD0C4A">
          <w:pPr>
            <w:pStyle w:val="Zpatvpravo"/>
          </w:pPr>
          <w:r w:rsidRPr="00A1536F">
            <w:t xml:space="preserve">Smlouva o dílo na Záměru projektu a </w:t>
          </w:r>
          <w:r w:rsidR="00C74950" w:rsidRPr="00A1536F">
            <w:t>doprovodné dokumentace (ZP+DD)</w:t>
          </w:r>
        </w:p>
      </w:tc>
      <w:tc>
        <w:tcPr>
          <w:tcW w:w="859" w:type="dxa"/>
          <w:vAlign w:val="bottom"/>
        </w:tcPr>
        <w:p w14:paraId="636991FB" w14:textId="004AC35E"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671D228F"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3FACF76C" w14:textId="06040879"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699CC2B9" w14:textId="5C4DE2C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60ED0F1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A2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176ACE6F" w:rsidR="000700EE" w:rsidRPr="00BD0C4A" w:rsidRDefault="00F95A29" w:rsidP="00BD0C4A">
          <w:pPr>
            <w:pStyle w:val="Zpatvlevo"/>
          </w:pPr>
          <w:fldSimple w:instr=" STYLEREF  _Název_akce  \* MERGEFORMAT ">
            <w:r>
              <w:rPr>
                <w:noProof/>
              </w:rPr>
              <w:t>„Název akce“ – přepíše se do zápatí</w:t>
            </w:r>
          </w:fldSimple>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231105BC"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569D791D" w14:textId="17DBDA82"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723C28A5" w14:textId="677543E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0700EE" w:rsidP="00BD0C4A">
          <w:pPr>
            <w:pStyle w:val="Zpatvlevo"/>
          </w:pPr>
          <w:fldSimple w:instr=" STYLEREF  _Název_akce  \* MERGEFORMAT ">
            <w:r>
              <w:rPr>
                <w:noProof/>
              </w:rPr>
              <w:t>„Název akce“ – přepíše se do zápatí</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460CD472"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5C02C6B0" w14:textId="131771E6"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718D31E4" w14:textId="009F460C"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0700EE" w:rsidP="00BD0C4A">
          <w:pPr>
            <w:pStyle w:val="Zpatvlevo"/>
          </w:pPr>
          <w:fldSimple w:instr=" STYLEREF  _Název_akce  \* MERGEFORMAT ">
            <w:r>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3234B0A8" w:rsidR="000700EE" w:rsidRPr="00BD0C4A" w:rsidRDefault="00C86CC5" w:rsidP="00BD0C4A">
          <w:pPr>
            <w:pStyle w:val="Zpatvpravo"/>
          </w:pPr>
          <w:fldSimple w:instr=" STYLEREF  _Název_akce  \* MERGEFORMAT ">
            <w:r w:rsidR="003C3D5D">
              <w:rPr>
                <w:noProof/>
              </w:rPr>
              <w:t>„Konverze na 25kV, 50 Hz v úseku Český Těšín (mimo) – Mosty u Jablunkova státní hranice“</w:t>
            </w:r>
          </w:fldSimple>
        </w:p>
        <w:p w14:paraId="7718B8E6" w14:textId="6D9999B4" w:rsidR="000700EE" w:rsidRPr="00BD0C4A" w:rsidRDefault="000700EE" w:rsidP="00BD0C4A">
          <w:pPr>
            <w:pStyle w:val="Zpatvpravo"/>
          </w:pPr>
          <w:r w:rsidRPr="00BD0C4A">
            <w:t xml:space="preserve">Smlouva o dílo na Záměru projektu </w:t>
          </w:r>
          <w:r w:rsidRPr="00A1536F">
            <w:t xml:space="preserve">a </w:t>
          </w:r>
          <w:r w:rsidR="00C74950" w:rsidRPr="00A1536F">
            <w:t>doprovodné dokumentace (ZP+DD</w:t>
          </w:r>
          <w:r w:rsidR="00C74950" w:rsidRPr="00BD0C4A">
            <w:t>)</w:t>
          </w:r>
        </w:p>
      </w:tc>
      <w:tc>
        <w:tcPr>
          <w:tcW w:w="859" w:type="dxa"/>
          <w:vAlign w:val="bottom"/>
        </w:tcPr>
        <w:p w14:paraId="0A7A4306" w14:textId="433B742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3D5D">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566898D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67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4664C7DD" w:rsidR="000700EE" w:rsidRPr="00BD0C4A" w:rsidRDefault="00355677" w:rsidP="00BD0C4A">
          <w:pPr>
            <w:pStyle w:val="Zpatvlevo"/>
          </w:pPr>
          <w:fldSimple w:instr=" STYLEREF  _Název_akce  \* MERGEFORMAT ">
            <w:r>
              <w:rPr>
                <w:noProof/>
              </w:rPr>
              <w:t>„Konverze na 25kV, 50 Hz v úseku Český Těšín (mimo) – Mosty u Jablunkova státní hranice“</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690A3" w14:textId="77777777" w:rsidR="000700EE" w:rsidRDefault="000700EE" w:rsidP="00962258">
      <w:pPr>
        <w:spacing w:after="0" w:line="240" w:lineRule="auto"/>
      </w:pPr>
      <w:r>
        <w:separator/>
      </w:r>
    </w:p>
  </w:footnote>
  <w:footnote w:type="continuationSeparator" w:id="0">
    <w:p w14:paraId="32CF6D89" w14:textId="77777777" w:rsidR="000700EE" w:rsidRDefault="000700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D3D9" w14:textId="77777777" w:rsidR="000700EE" w:rsidRDefault="000700E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2C00" w14:textId="77777777" w:rsidR="000700EE" w:rsidRPr="00D6163D" w:rsidRDefault="000700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D8C7B" w14:textId="77777777" w:rsidR="000700EE" w:rsidRDefault="000700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4AE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CB3D"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9A61"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C5A2" w14:textId="77777777"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E598"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225A" w14:textId="77777777" w:rsidR="000700EE" w:rsidRPr="00D6163D" w:rsidRDefault="000700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18DD" w14:textId="77777777" w:rsidR="000700EE" w:rsidRDefault="000700E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59A4" w14:textId="77777777" w:rsidR="000700EE" w:rsidRPr="00D6163D" w:rsidRDefault="000700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0AC470D8"/>
    <w:lvl w:ilvl="0" w:tplc="ABA0C102">
      <w:start w:val="9"/>
      <w:numFmt w:val="bullet"/>
      <w:lvlText w:val="-"/>
      <w:lvlJc w:val="left"/>
      <w:pPr>
        <w:ind w:left="1429" w:hanging="360"/>
      </w:pPr>
      <w:rPr>
        <w:rFonts w:ascii="Calibri" w:eastAsia="Times New Roman" w:hAnsi="Calibri" w:hint="default"/>
        <w:b w:val="0"/>
        <w:bCs w:val="0"/>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17"/>
  </w:num>
  <w:num w:numId="4" w16cid:durableId="987130365">
    <w:abstractNumId w:val="5"/>
  </w:num>
  <w:num w:numId="5" w16cid:durableId="1441267775">
    <w:abstractNumId w:val="0"/>
  </w:num>
  <w:num w:numId="6" w16cid:durableId="1864898615">
    <w:abstractNumId w:val="9"/>
  </w:num>
  <w:num w:numId="7" w16cid:durableId="446239072">
    <w:abstractNumId w:val="13"/>
  </w:num>
  <w:num w:numId="8" w16cid:durableId="1082987167">
    <w:abstractNumId w:val="16"/>
  </w:num>
  <w:num w:numId="9" w16cid:durableId="321785377">
    <w:abstractNumId w:val="0"/>
  </w:num>
  <w:num w:numId="10" w16cid:durableId="1266621374">
    <w:abstractNumId w:val="2"/>
  </w:num>
  <w:num w:numId="11" w16cid:durableId="775902191">
    <w:abstractNumId w:val="18"/>
  </w:num>
  <w:num w:numId="12" w16cid:durableId="1180662387">
    <w:abstractNumId w:val="7"/>
  </w:num>
  <w:num w:numId="13" w16cid:durableId="14233976">
    <w:abstractNumId w:val="15"/>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0"/>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4"/>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19"/>
  </w:num>
  <w:num w:numId="39" w16cid:durableId="878320050">
    <w:abstractNumId w:val="8"/>
  </w:num>
  <w:num w:numId="40" w16cid:durableId="1524977063">
    <w:abstractNumId w:val="12"/>
  </w:num>
  <w:num w:numId="41" w16cid:durableId="1748452478">
    <w:abstractNumId w:val="4"/>
  </w:num>
  <w:num w:numId="42" w16cid:durableId="115948078">
    <w:abstractNumId w:val="6"/>
  </w:num>
  <w:num w:numId="43" w16cid:durableId="91620424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1EC8"/>
    <w:rsid w:val="000509D4"/>
    <w:rsid w:val="0006588D"/>
    <w:rsid w:val="00067A5E"/>
    <w:rsid w:val="000700EE"/>
    <w:rsid w:val="000719BB"/>
    <w:rsid w:val="00072A65"/>
    <w:rsid w:val="00072C1E"/>
    <w:rsid w:val="000734C7"/>
    <w:rsid w:val="0008069A"/>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31B85"/>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2661"/>
    <w:rsid w:val="001B4E74"/>
    <w:rsid w:val="001C645F"/>
    <w:rsid w:val="001D59DF"/>
    <w:rsid w:val="001E1332"/>
    <w:rsid w:val="001E678E"/>
    <w:rsid w:val="002038D5"/>
    <w:rsid w:val="002071BB"/>
    <w:rsid w:val="00207DF5"/>
    <w:rsid w:val="00210125"/>
    <w:rsid w:val="00216525"/>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05A89"/>
    <w:rsid w:val="00320709"/>
    <w:rsid w:val="00323427"/>
    <w:rsid w:val="00327EEF"/>
    <w:rsid w:val="0033239F"/>
    <w:rsid w:val="003348F5"/>
    <w:rsid w:val="003377C5"/>
    <w:rsid w:val="0034274B"/>
    <w:rsid w:val="0034719F"/>
    <w:rsid w:val="00350A35"/>
    <w:rsid w:val="00355677"/>
    <w:rsid w:val="003571D8"/>
    <w:rsid w:val="00357BC6"/>
    <w:rsid w:val="00361422"/>
    <w:rsid w:val="0037090A"/>
    <w:rsid w:val="0037234B"/>
    <w:rsid w:val="0037545D"/>
    <w:rsid w:val="00380C0F"/>
    <w:rsid w:val="0038188D"/>
    <w:rsid w:val="00381EFC"/>
    <w:rsid w:val="00384515"/>
    <w:rsid w:val="003918EC"/>
    <w:rsid w:val="00392910"/>
    <w:rsid w:val="00392EB6"/>
    <w:rsid w:val="003956C6"/>
    <w:rsid w:val="003A07C7"/>
    <w:rsid w:val="003A0831"/>
    <w:rsid w:val="003A197F"/>
    <w:rsid w:val="003A5A1E"/>
    <w:rsid w:val="003B1E6E"/>
    <w:rsid w:val="003B6695"/>
    <w:rsid w:val="003C2919"/>
    <w:rsid w:val="003C33F2"/>
    <w:rsid w:val="003C3D5D"/>
    <w:rsid w:val="003D2692"/>
    <w:rsid w:val="003D756E"/>
    <w:rsid w:val="003E420D"/>
    <w:rsid w:val="003E4C13"/>
    <w:rsid w:val="003E5C36"/>
    <w:rsid w:val="003F0FD2"/>
    <w:rsid w:val="003F21E5"/>
    <w:rsid w:val="00402338"/>
    <w:rsid w:val="004078F3"/>
    <w:rsid w:val="00427794"/>
    <w:rsid w:val="00450F07"/>
    <w:rsid w:val="00453CD3"/>
    <w:rsid w:val="0046002F"/>
    <w:rsid w:val="00460275"/>
    <w:rsid w:val="00460660"/>
    <w:rsid w:val="00464BA9"/>
    <w:rsid w:val="00483969"/>
    <w:rsid w:val="0048445D"/>
    <w:rsid w:val="004854D2"/>
    <w:rsid w:val="00486107"/>
    <w:rsid w:val="00491827"/>
    <w:rsid w:val="004A490C"/>
    <w:rsid w:val="004A70BA"/>
    <w:rsid w:val="004B1883"/>
    <w:rsid w:val="004C4399"/>
    <w:rsid w:val="004C787C"/>
    <w:rsid w:val="004D09FB"/>
    <w:rsid w:val="004D4E4E"/>
    <w:rsid w:val="004D70F3"/>
    <w:rsid w:val="004E7A1F"/>
    <w:rsid w:val="004F0093"/>
    <w:rsid w:val="004F3B82"/>
    <w:rsid w:val="004F433F"/>
    <w:rsid w:val="004F4B9B"/>
    <w:rsid w:val="00502690"/>
    <w:rsid w:val="0050666E"/>
    <w:rsid w:val="0051192C"/>
    <w:rsid w:val="00511AB9"/>
    <w:rsid w:val="00523BB5"/>
    <w:rsid w:val="00523EA7"/>
    <w:rsid w:val="00531A39"/>
    <w:rsid w:val="005406EB"/>
    <w:rsid w:val="00540D3B"/>
    <w:rsid w:val="005445D5"/>
    <w:rsid w:val="00545FA0"/>
    <w:rsid w:val="00553375"/>
    <w:rsid w:val="00555884"/>
    <w:rsid w:val="005736B7"/>
    <w:rsid w:val="00575E5A"/>
    <w:rsid w:val="00580245"/>
    <w:rsid w:val="005967A9"/>
    <w:rsid w:val="005A1F44"/>
    <w:rsid w:val="005A3013"/>
    <w:rsid w:val="005A6EF8"/>
    <w:rsid w:val="005A7C49"/>
    <w:rsid w:val="005B661E"/>
    <w:rsid w:val="005B7C03"/>
    <w:rsid w:val="005C60FA"/>
    <w:rsid w:val="005D3C39"/>
    <w:rsid w:val="005D4B7F"/>
    <w:rsid w:val="005E7147"/>
    <w:rsid w:val="0060019F"/>
    <w:rsid w:val="00601A8C"/>
    <w:rsid w:val="006021C7"/>
    <w:rsid w:val="0060645F"/>
    <w:rsid w:val="0061068E"/>
    <w:rsid w:val="006110AB"/>
    <w:rsid w:val="006115D3"/>
    <w:rsid w:val="006128F9"/>
    <w:rsid w:val="00636163"/>
    <w:rsid w:val="00636A5B"/>
    <w:rsid w:val="0065610E"/>
    <w:rsid w:val="00660AD3"/>
    <w:rsid w:val="006624D9"/>
    <w:rsid w:val="00662C59"/>
    <w:rsid w:val="00670D9A"/>
    <w:rsid w:val="006776B6"/>
    <w:rsid w:val="00683090"/>
    <w:rsid w:val="006837DF"/>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1D47"/>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13A6"/>
    <w:rsid w:val="008579C7"/>
    <w:rsid w:val="008603AD"/>
    <w:rsid w:val="00866994"/>
    <w:rsid w:val="00872362"/>
    <w:rsid w:val="00893DB7"/>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0F5E"/>
    <w:rsid w:val="00922385"/>
    <w:rsid w:val="009223DF"/>
    <w:rsid w:val="00922A07"/>
    <w:rsid w:val="00925499"/>
    <w:rsid w:val="00930F78"/>
    <w:rsid w:val="00932561"/>
    <w:rsid w:val="00936091"/>
    <w:rsid w:val="00940D8A"/>
    <w:rsid w:val="009417A8"/>
    <w:rsid w:val="00951D97"/>
    <w:rsid w:val="009564A2"/>
    <w:rsid w:val="00962243"/>
    <w:rsid w:val="00962258"/>
    <w:rsid w:val="009678B7"/>
    <w:rsid w:val="00992D9C"/>
    <w:rsid w:val="00994B7A"/>
    <w:rsid w:val="00996CB8"/>
    <w:rsid w:val="009A3A0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1536F"/>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F40"/>
    <w:rsid w:val="00B4461E"/>
    <w:rsid w:val="00B5431A"/>
    <w:rsid w:val="00B55D99"/>
    <w:rsid w:val="00B64294"/>
    <w:rsid w:val="00B75EE1"/>
    <w:rsid w:val="00B77481"/>
    <w:rsid w:val="00B8518B"/>
    <w:rsid w:val="00B92ABC"/>
    <w:rsid w:val="00B97CC3"/>
    <w:rsid w:val="00BB2E14"/>
    <w:rsid w:val="00BB4880"/>
    <w:rsid w:val="00BC06C4"/>
    <w:rsid w:val="00BC2BF6"/>
    <w:rsid w:val="00BD0C4A"/>
    <w:rsid w:val="00BD24A8"/>
    <w:rsid w:val="00BD7E91"/>
    <w:rsid w:val="00BD7F0D"/>
    <w:rsid w:val="00BE16A6"/>
    <w:rsid w:val="00BF1504"/>
    <w:rsid w:val="00C02D0A"/>
    <w:rsid w:val="00C03A6E"/>
    <w:rsid w:val="00C064A6"/>
    <w:rsid w:val="00C11FE0"/>
    <w:rsid w:val="00C20BE8"/>
    <w:rsid w:val="00C21394"/>
    <w:rsid w:val="00C22228"/>
    <w:rsid w:val="00C226C0"/>
    <w:rsid w:val="00C37459"/>
    <w:rsid w:val="00C42FE6"/>
    <w:rsid w:val="00C43398"/>
    <w:rsid w:val="00C44F6A"/>
    <w:rsid w:val="00C45470"/>
    <w:rsid w:val="00C50E43"/>
    <w:rsid w:val="00C5579C"/>
    <w:rsid w:val="00C6167C"/>
    <w:rsid w:val="00C6198E"/>
    <w:rsid w:val="00C708EA"/>
    <w:rsid w:val="00C74950"/>
    <w:rsid w:val="00C778A5"/>
    <w:rsid w:val="00C86CC5"/>
    <w:rsid w:val="00C95162"/>
    <w:rsid w:val="00C96697"/>
    <w:rsid w:val="00CB4F6D"/>
    <w:rsid w:val="00CB6A37"/>
    <w:rsid w:val="00CB7684"/>
    <w:rsid w:val="00CC7060"/>
    <w:rsid w:val="00CC72E4"/>
    <w:rsid w:val="00CC7C8F"/>
    <w:rsid w:val="00CD1FC4"/>
    <w:rsid w:val="00CE30D4"/>
    <w:rsid w:val="00CE5A16"/>
    <w:rsid w:val="00CF1886"/>
    <w:rsid w:val="00D034A0"/>
    <w:rsid w:val="00D21061"/>
    <w:rsid w:val="00D4108E"/>
    <w:rsid w:val="00D4328E"/>
    <w:rsid w:val="00D51121"/>
    <w:rsid w:val="00D6163D"/>
    <w:rsid w:val="00D831A3"/>
    <w:rsid w:val="00D85095"/>
    <w:rsid w:val="00D94DD5"/>
    <w:rsid w:val="00D97BE3"/>
    <w:rsid w:val="00DA3711"/>
    <w:rsid w:val="00DA3C87"/>
    <w:rsid w:val="00DD46F3"/>
    <w:rsid w:val="00DE56F2"/>
    <w:rsid w:val="00DE62BB"/>
    <w:rsid w:val="00DF116D"/>
    <w:rsid w:val="00E1514B"/>
    <w:rsid w:val="00E16FF7"/>
    <w:rsid w:val="00E233CF"/>
    <w:rsid w:val="00E26D68"/>
    <w:rsid w:val="00E40B50"/>
    <w:rsid w:val="00E44045"/>
    <w:rsid w:val="00E618C4"/>
    <w:rsid w:val="00E62E04"/>
    <w:rsid w:val="00E70284"/>
    <w:rsid w:val="00E7415D"/>
    <w:rsid w:val="00E83C28"/>
    <w:rsid w:val="00E878EE"/>
    <w:rsid w:val="00E901A3"/>
    <w:rsid w:val="00EA585B"/>
    <w:rsid w:val="00EA6EC7"/>
    <w:rsid w:val="00EA7331"/>
    <w:rsid w:val="00EB104F"/>
    <w:rsid w:val="00EB46E5"/>
    <w:rsid w:val="00ED14BD"/>
    <w:rsid w:val="00ED3A3B"/>
    <w:rsid w:val="00F016C7"/>
    <w:rsid w:val="00F1015D"/>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5A21"/>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1B2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40957">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79537112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566523784">
      <w:bodyDiv w:val="1"/>
      <w:marLeft w:val="0"/>
      <w:marRight w:val="0"/>
      <w:marTop w:val="0"/>
      <w:marBottom w:val="0"/>
      <w:divBdr>
        <w:top w:val="none" w:sz="0" w:space="0" w:color="auto"/>
        <w:left w:val="none" w:sz="0" w:space="0" w:color="auto"/>
        <w:bottom w:val="none" w:sz="0" w:space="0" w:color="auto"/>
        <w:right w:val="none" w:sz="0" w:space="0" w:color="auto"/>
      </w:divBdr>
    </w:div>
    <w:div w:id="211019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19.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Dieguezova@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yperlink" Target="https://sfdi.gov.cz/pravidla-a-metodiky/rezortni-metodika-pro-hodnoceni-ekonomicke-efektivnosti-projektu/"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yperlink" Target="mailto:Bocak@spravazeleznic.cz" TargetMode="External"/><Relationship Id="rId37" Type="http://schemas.openxmlformats.org/officeDocument/2006/relationships/header" Target="header8.xml"/><Relationship Id="rId40" Type="http://schemas.openxmlformats.org/officeDocument/2006/relationships/footer" Target="footer16.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s://www.mdcr.cz/Dokumenty/Ministerstvo/Vnitrorezortni-predpisy-(1)/Pravidla-pro-postupy-v-prubehu-pripravy-investicni" TargetMode="External"/><Relationship Id="rId23" Type="http://schemas.openxmlformats.org/officeDocument/2006/relationships/header" Target="header4.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C08FB"/>
    <w:rsid w:val="00305A89"/>
    <w:rsid w:val="0035793D"/>
    <w:rsid w:val="003C525E"/>
    <w:rsid w:val="003F4DD2"/>
    <w:rsid w:val="004315D2"/>
    <w:rsid w:val="00435DA4"/>
    <w:rsid w:val="0044346F"/>
    <w:rsid w:val="00515857"/>
    <w:rsid w:val="005A7C49"/>
    <w:rsid w:val="005F0151"/>
    <w:rsid w:val="00632EF5"/>
    <w:rsid w:val="006744A7"/>
    <w:rsid w:val="00683090"/>
    <w:rsid w:val="0089373F"/>
    <w:rsid w:val="008D4AF1"/>
    <w:rsid w:val="008E5F9E"/>
    <w:rsid w:val="009159BE"/>
    <w:rsid w:val="00922A07"/>
    <w:rsid w:val="009457AE"/>
    <w:rsid w:val="009B024E"/>
    <w:rsid w:val="00A5325E"/>
    <w:rsid w:val="00B14AA8"/>
    <w:rsid w:val="00B642E9"/>
    <w:rsid w:val="00BE16A6"/>
    <w:rsid w:val="00C17660"/>
    <w:rsid w:val="00CC63B4"/>
    <w:rsid w:val="00D26E1F"/>
    <w:rsid w:val="00D51BCB"/>
    <w:rsid w:val="00DF6A4E"/>
    <w:rsid w:val="00E3790D"/>
    <w:rsid w:val="00E70284"/>
    <w:rsid w:val="00F10BC4"/>
    <w:rsid w:val="00F31802"/>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TotalTime>
  <Pages>25</Pages>
  <Words>4966</Words>
  <Characters>29306</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4</cp:revision>
  <cp:lastPrinted>2019-03-12T14:16:00Z</cp:lastPrinted>
  <dcterms:created xsi:type="dcterms:W3CDTF">2025-02-12T12:04:00Z</dcterms:created>
  <dcterms:modified xsi:type="dcterms:W3CDTF">2025-02-14T07:32:00Z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